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宋体"/>
          <w:sz w:val="21"/>
        </w:rPr>
      </w:pPr>
    </w:p>
    <w:p>
      <w:pPr>
        <w:spacing w:before="172" w:line="180" w:lineRule="auto"/>
        <w:ind w:firstLine="177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惠阳中医院食堂</w:t>
      </w:r>
      <w:r>
        <w:rPr>
          <w:rFonts w:hint="eastAsia" w:ascii="微软雅黑" w:hAnsi="微软雅黑" w:eastAsia="微软雅黑" w:cs="微软雅黑"/>
          <w:b/>
          <w:bCs/>
          <w:spacing w:val="-1"/>
          <w:sz w:val="40"/>
          <w:szCs w:val="40"/>
          <w:lang w:eastAsia="zh-CN"/>
        </w:rPr>
        <w:t>招标需求</w:t>
      </w: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书</w:t>
      </w:r>
    </w:p>
    <w:p>
      <w:pPr>
        <w:spacing w:line="424" w:lineRule="auto"/>
        <w:rPr>
          <w:rFonts w:ascii="宋体"/>
          <w:sz w:val="21"/>
        </w:rPr>
      </w:pPr>
    </w:p>
    <w:p>
      <w:pPr>
        <w:spacing w:before="156" w:line="184" w:lineRule="auto"/>
        <w:ind w:firstLine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一、竞标优势</w:t>
      </w:r>
    </w:p>
    <w:p>
      <w:pPr>
        <w:spacing w:line="269" w:lineRule="auto"/>
        <w:rPr>
          <w:rFonts w:ascii="宋体"/>
          <w:sz w:val="21"/>
        </w:rPr>
      </w:pPr>
    </w:p>
    <w:p>
      <w:pPr>
        <w:spacing w:before="78" w:line="316" w:lineRule="auto"/>
        <w:ind w:left="25" w:firstLine="49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、竞标人热爱餐饮服务工作，且有多年从事餐饮食堂经营服务的工作经验。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从事食堂经营管理工作中，竞标人遵守国家食品卫生法及相关的管理规定，忠实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履行自己的职业职责。满足甲方的需要，做好服务工作。无任何违法乱纪行为，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无任何食品安全和其他安全方面的事故，文明待人。</w:t>
      </w:r>
    </w:p>
    <w:p>
      <w:pPr>
        <w:spacing w:before="228" w:line="316" w:lineRule="auto"/>
        <w:ind w:left="26" w:right="85" w:firstLine="59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、竞标人及其团队主要成员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pacing w:val="-3"/>
          <w:sz w:val="24"/>
          <w:szCs w:val="24"/>
        </w:rPr>
        <w:t>身体健康，团队重视对医生、护士及各部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门职工的服务质量，以医生、护士及各部门职工食品安全卫生为食堂经营的生命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线；</w:t>
      </w:r>
      <w:r>
        <w:rPr>
          <w:rFonts w:ascii="宋体" w:hAnsi="宋体" w:eastAsia="宋体" w:cs="宋体"/>
          <w:spacing w:val="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以医生、护士及各部门职工满意为食堂经营</w:t>
      </w:r>
      <w:r>
        <w:rPr>
          <w:rFonts w:hint="eastAsia" w:ascii="宋体" w:hAnsi="宋体" w:eastAsia="宋体" w:cs="宋体"/>
          <w:spacing w:val="-13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8"/>
          <w:sz w:val="24"/>
          <w:szCs w:val="24"/>
        </w:rPr>
        <w:t>目标；</w:t>
      </w:r>
      <w:r>
        <w:rPr>
          <w:rFonts w:ascii="宋体" w:hAnsi="宋体" w:eastAsia="宋体" w:cs="宋体"/>
          <w:spacing w:val="10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以全心全意服务医生、护士及各部门职工为食堂经营的理念。</w:t>
      </w:r>
    </w:p>
    <w:p>
      <w:pPr>
        <w:spacing w:before="229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、竞标人及其主要成员具有良好的经营饮食服务能力，经营的品种多种多</w:t>
      </w:r>
    </w:p>
    <w:p>
      <w:pPr>
        <w:spacing w:before="228" w:line="360" w:lineRule="auto"/>
        <w:ind w:left="28" w:right="45" w:hanging="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</w:rPr>
        <w:t>样，包括面食、米饭、豆浆、炒烧菜类以及蛋类、肉类、海产品类等烹调技术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>
      <w:pPr>
        <w:spacing w:before="157" w:line="184" w:lineRule="auto"/>
        <w:ind w:firstLine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二、服务承诺</w:t>
      </w:r>
    </w:p>
    <w:p>
      <w:pPr>
        <w:spacing w:line="269" w:lineRule="auto"/>
        <w:rPr>
          <w:rFonts w:ascii="宋体"/>
          <w:sz w:val="21"/>
        </w:rPr>
      </w:pPr>
    </w:p>
    <w:p>
      <w:pPr>
        <w:spacing w:before="78" w:line="360" w:lineRule="auto"/>
        <w:ind w:left="22" w:right="18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我们向广大医生、护士及各部门职工做出以下食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堂服务承诺，保证医生、护士及各部门职工群体的利益：</w:t>
      </w:r>
    </w:p>
    <w:p>
      <w:pPr>
        <w:spacing w:before="3" w:line="359" w:lineRule="auto"/>
        <w:ind w:left="25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）保证让各位在寒冷的冬季能够吃到可口的热饭菜，对此，在经济</w:t>
      </w:r>
      <w:bookmarkStart w:id="0" w:name="_GoBack"/>
      <w:bookmarkEnd w:id="0"/>
      <w:r>
        <w:rPr>
          <w:rFonts w:ascii="宋体" w:hAnsi="宋体" w:eastAsia="宋体" w:cs="宋体"/>
          <w:spacing w:val="-8"/>
          <w:sz w:val="24"/>
          <w:szCs w:val="24"/>
        </w:rPr>
        <w:t>条件允许情况下，我们将提供相关设备，确保医生、护士及各部门职工吃的舒心。</w:t>
      </w:r>
    </w:p>
    <w:p>
      <w:pPr>
        <w:spacing w:before="2" w:line="359" w:lineRule="auto"/>
        <w:ind w:left="21" w:right="111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）为了给各位医生、护士及各部门职工在工作用餐期间提供更好的便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捷服务，在餐桌上，我们提供优质的面巾纸、牙签等。</w:t>
      </w:r>
    </w:p>
    <w:p>
      <w:pPr>
        <w:spacing w:line="202" w:lineRule="auto"/>
        <w:ind w:firstLine="509"/>
        <w:sectPr>
          <w:headerReference r:id="rId5" w:type="default"/>
          <w:footerReference r:id="rId6" w:type="default"/>
          <w:pgSz w:w="11906" w:h="16839"/>
          <w:pgMar w:top="1431" w:right="1714" w:bottom="0" w:left="1785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）在与各位医生、护士及各部门职工的合作过程中，我们力求以最好的</w:t>
      </w:r>
    </w:p>
    <w:p>
      <w:pPr>
        <w:spacing w:before="123" w:line="184" w:lineRule="auto"/>
        <w:ind w:firstLine="1190" w:firstLineChars="500"/>
        <w:rPr>
          <w:rFonts w:ascii="宋体" w:hAnsi="宋体" w:eastAsia="宋体" w:cs="宋体"/>
          <w:spacing w:val="-1"/>
          <w:sz w:val="24"/>
          <w:szCs w:val="24"/>
        </w:rPr>
      </w:pPr>
    </w:p>
    <w:p>
      <w:pPr>
        <w:spacing w:before="123" w:line="184" w:lineRule="auto"/>
        <w:ind w:firstLine="1190" w:firstLineChars="500"/>
        <w:rPr>
          <w:rFonts w:ascii="宋体" w:hAnsi="宋体" w:eastAsia="宋体" w:cs="宋体"/>
          <w:spacing w:val="-1"/>
          <w:sz w:val="24"/>
          <w:szCs w:val="24"/>
        </w:rPr>
      </w:pPr>
    </w:p>
    <w:p>
      <w:pPr>
        <w:spacing w:before="123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服务态度使各位医生、护士及各部门职工满意。丰富饭菜种类，会按照不</w:t>
      </w:r>
      <w:r>
        <w:rPr>
          <w:rFonts w:ascii="宋体" w:hAnsi="宋体" w:eastAsia="宋体" w:cs="宋体"/>
          <w:spacing w:val="-2"/>
          <w:sz w:val="24"/>
          <w:szCs w:val="24"/>
        </w:rPr>
        <w:t>同的季节及时更换菜系品种。在菜的原料选择上，荤菜主要以新鲜肉类、蛋类、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豆制品等为主；</w:t>
      </w:r>
      <w:r>
        <w:rPr>
          <w:rFonts w:ascii="宋体" w:hAnsi="宋体" w:eastAsia="宋体" w:cs="宋体"/>
          <w:spacing w:val="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蔬菜主要以新鲜时令蔬菜为主，辅助增加反季节蔬菜及炒粉，另</w:t>
      </w:r>
      <w:r>
        <w:rPr>
          <w:rFonts w:ascii="宋体" w:hAnsi="宋体" w:eastAsia="宋体" w:cs="宋体"/>
          <w:spacing w:val="-2"/>
          <w:sz w:val="24"/>
          <w:szCs w:val="24"/>
        </w:rPr>
        <w:t>外，食堂还会配备一些干菜。将以上菜进行合理选择搭配，既注重菜的色、香、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味同时，也兼顾营养的需求。</w:t>
      </w:r>
    </w:p>
    <w:p>
      <w:pPr>
        <w:spacing w:before="156" w:line="184" w:lineRule="auto"/>
        <w:ind w:firstLine="4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四、经营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</w:p>
    <w:p>
      <w:pPr>
        <w:spacing w:line="269" w:lineRule="auto"/>
        <w:rPr>
          <w:rFonts w:ascii="宋体"/>
          <w:sz w:val="21"/>
        </w:rPr>
      </w:pPr>
    </w:p>
    <w:p>
      <w:pPr>
        <w:spacing w:before="78" w:line="184" w:lineRule="auto"/>
        <w:ind w:firstLine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、就餐方式：</w:t>
      </w:r>
      <w:r>
        <w:rPr>
          <w:rFonts w:ascii="宋体" w:hAnsi="宋体" w:eastAsia="宋体" w:cs="宋体"/>
          <w:spacing w:val="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医生、护士及各部门职工以套餐的形式就餐，四菜一汤，米</w:t>
      </w:r>
    </w:p>
    <w:p>
      <w:pPr>
        <w:spacing w:before="229" w:line="36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饭，碗筷、勺子，餐巾纸、牙签等全部由食堂工作人员事先在就餐房间准备好。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菜由售菜柜保温，保证热度及口感；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汤由保温桶保温；</w:t>
      </w:r>
      <w:r>
        <w:rPr>
          <w:rFonts w:ascii="宋体" w:hAnsi="宋体" w:eastAsia="宋体" w:cs="宋体"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米饭保温，我们根据医院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医生、护士及各部门职工总数，确保饭菜足够。</w:t>
      </w:r>
    </w:p>
    <w:p>
      <w:pPr>
        <w:spacing w:before="2" w:line="359" w:lineRule="auto"/>
        <w:ind w:left="23" w:right="58" w:firstLine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医生、护士及各部门职工就餐以排队形式进行，根据食堂实际情况，设置一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个打饭窗口和一个打菜窗口。</w:t>
      </w:r>
    </w:p>
    <w:p>
      <w:pPr>
        <w:spacing w:line="202" w:lineRule="auto"/>
        <w:ind w:firstLine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、卫生规划：</w:t>
      </w:r>
      <w:r>
        <w:rPr>
          <w:rFonts w:ascii="宋体" w:hAnsi="宋体" w:eastAsia="宋体" w:cs="宋体"/>
          <w:spacing w:val="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食堂内外都要配置环保垃圾桶，厨房需要单独配置一个垃圾</w:t>
      </w:r>
    </w:p>
    <w:p>
      <w:pPr>
        <w:spacing w:before="206" w:line="360" w:lineRule="auto"/>
        <w:ind w:left="25" w:righ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桶，及时清理食堂地面及外围周边的垃圾，保持食堂内墙的干净整洁，每次就餐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完毕餐桌都会及时清理。我们努力的目标是给各位医生、护士及各部门职工营造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一个干净、整洁、有序的食堂就餐环境。</w:t>
      </w:r>
    </w:p>
    <w:p>
      <w:pPr>
        <w:spacing w:before="156" w:line="184" w:lineRule="auto"/>
        <w:ind w:firstLine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五、管理措施</w:t>
      </w:r>
    </w:p>
    <w:p>
      <w:pPr>
        <w:spacing w:line="269" w:lineRule="auto"/>
        <w:rPr>
          <w:rFonts w:ascii="宋体"/>
          <w:sz w:val="21"/>
        </w:rPr>
      </w:pPr>
    </w:p>
    <w:p>
      <w:pPr>
        <w:spacing w:before="78" w:line="360" w:lineRule="auto"/>
        <w:ind w:left="31" w:right="58" w:firstLine="49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、严把进货关，坚持杜绝来路不明的各种货源进入食堂。做到分工具体，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责任明确，由专人负责进货，定点进货。不合格的菜、肉、鱼、油、佐料等，坚</w:t>
      </w:r>
    </w:p>
    <w:p>
      <w:pPr>
        <w:sectPr>
          <w:headerReference r:id="rId7" w:type="default"/>
          <w:pgSz w:w="11906" w:h="16839"/>
          <w:pgMar w:top="1431" w:right="1740" w:bottom="0" w:left="1785" w:header="0" w:footer="0" w:gutter="0"/>
          <w:pgNumType w:fmt="decimal" w:start="1"/>
          <w:cols w:space="720" w:num="1"/>
        </w:sectPr>
      </w:pPr>
    </w:p>
    <w:p>
      <w:pPr>
        <w:spacing w:before="123" w:line="184" w:lineRule="auto"/>
        <w:ind w:firstLine="1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决不进。</w:t>
      </w:r>
    </w:p>
    <w:p>
      <w:pPr>
        <w:spacing w:before="228" w:line="360" w:lineRule="auto"/>
        <w:ind w:left="123" w:right="24" w:firstLine="47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、严把处理关。进入食堂的蔬菜，在细加工之前，一定要摘好洗净，在干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净的水池中清洗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遍以上，然后，转入干净的清水中浸泡半个小时以上。在细加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工之前，做到生熟食品分开，容器分开，工作区分开，杜绝交叉感染。保证煮熟、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煮烂，严格按照食品卫生规定加工食品，保证让员工吃得放心，吃得舒心。</w:t>
      </w:r>
    </w:p>
    <w:p>
      <w:pPr>
        <w:spacing w:before="1" w:line="358" w:lineRule="auto"/>
        <w:ind w:left="125" w:right="111" w:firstLine="47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、保证做到不合格或霉坏变质的食品不上柜台，剩余饭菜不上柜台，加工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失误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>
        <w:rPr>
          <w:rFonts w:ascii="宋体" w:hAnsi="宋体" w:eastAsia="宋体" w:cs="宋体"/>
          <w:spacing w:val="-1"/>
          <w:sz w:val="24"/>
          <w:szCs w:val="24"/>
        </w:rPr>
        <w:t>过生或过糊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宋体" w:hAnsi="宋体" w:eastAsia="宋体" w:cs="宋体"/>
          <w:spacing w:val="-1"/>
          <w:sz w:val="24"/>
          <w:szCs w:val="24"/>
        </w:rPr>
        <w:t>的饭菜不上柜台。</w:t>
      </w:r>
    </w:p>
    <w:p>
      <w:pPr>
        <w:spacing w:before="5" w:line="301" w:lineRule="auto"/>
        <w:ind w:left="120" w:right="109" w:firstLine="47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、要求工作人员要讲究仪容仪表。上班期间必须穿戴工作服，并做到衣冠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整齐，干净卫生。同时，必须保持个人卫生，勤洗手、勤剪指甲，女的不浓妆艳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抹，不留过肩长发，男的不留胡须。</w:t>
      </w:r>
    </w:p>
    <w:p>
      <w:pPr>
        <w:spacing w:before="185" w:line="360" w:lineRule="auto"/>
        <w:ind w:left="124" w:right="109" w:firstLine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、搞好食堂卫生，不准有蚊、蝇现象。保证碗、筷餐前消毒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(</w:t>
      </w:r>
      <w:r>
        <w:rPr>
          <w:rFonts w:ascii="宋体" w:hAnsi="宋体" w:eastAsia="宋体" w:cs="宋体"/>
          <w:spacing w:val="-3"/>
          <w:sz w:val="24"/>
          <w:szCs w:val="24"/>
        </w:rPr>
        <w:t>煮沸和用特定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消毒措施处理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宋体" w:hAnsi="宋体" w:eastAsia="宋体" w:cs="宋体"/>
          <w:spacing w:val="-1"/>
          <w:sz w:val="24"/>
          <w:szCs w:val="24"/>
        </w:rPr>
        <w:t>做到无水垢、油垢现象。确保卫生安全。</w:t>
      </w:r>
    </w:p>
    <w:p>
      <w:pPr>
        <w:spacing w:before="45" w:line="301" w:lineRule="auto"/>
        <w:ind w:left="120" w:right="42" w:firstLine="48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6</w:t>
      </w:r>
      <w:r>
        <w:rPr>
          <w:rFonts w:ascii="宋体" w:hAnsi="宋体" w:eastAsia="宋体" w:cs="宋体"/>
          <w:spacing w:val="-5"/>
          <w:sz w:val="24"/>
          <w:szCs w:val="24"/>
        </w:rPr>
        <w:t>、全体工作人员都应熟练掌握消防安全常规常识，严格执行消防安全标准，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确保不出问题。要作到人走灯灭，人走水停。注重节约。珍惜食堂和医院的一草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一木。</w:t>
      </w:r>
    </w:p>
    <w:p>
      <w:pPr>
        <w:spacing w:before="2" w:line="359" w:lineRule="auto"/>
        <w:ind w:left="123" w:right="111" w:firstLine="482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18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、随时恭候院领导、管理部门对餐厅进行食品卫生检查、安全检查，并积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极配合、及时改正所存在的问题。</w:t>
      </w:r>
    </w:p>
    <w:p>
      <w:pPr>
        <w:spacing w:before="152" w:line="184" w:lineRule="auto"/>
        <w:ind w:firstLine="12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六、评分规则</w:t>
      </w:r>
    </w:p>
    <w:p>
      <w:pPr>
        <w:spacing w:line="35" w:lineRule="exact"/>
      </w:pPr>
    </w:p>
    <w:tbl>
      <w:tblPr>
        <w:tblStyle w:val="6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920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4" w:type="dxa"/>
            <w:vAlign w:val="top"/>
          </w:tcPr>
          <w:p>
            <w:pPr>
              <w:spacing w:before="133" w:line="184" w:lineRule="auto"/>
              <w:ind w:firstLine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920" w:type="dxa"/>
            <w:vAlign w:val="top"/>
          </w:tcPr>
          <w:p>
            <w:pPr>
              <w:spacing w:before="133" w:line="184" w:lineRule="auto"/>
              <w:ind w:firstLine="3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评分项</w:t>
            </w:r>
          </w:p>
        </w:tc>
        <w:tc>
          <w:tcPr>
            <w:tcW w:w="767" w:type="dxa"/>
            <w:vAlign w:val="top"/>
          </w:tcPr>
          <w:p>
            <w:pPr>
              <w:spacing w:before="133" w:line="184" w:lineRule="auto"/>
              <w:ind w:firstLine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宋体"/>
                <w:sz w:val="21"/>
              </w:rPr>
            </w:pPr>
          </w:p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</w:t>
            </w:r>
          </w:p>
        </w:tc>
        <w:tc>
          <w:tcPr>
            <w:tcW w:w="6920" w:type="dxa"/>
            <w:vAlign w:val="top"/>
          </w:tcPr>
          <w:p>
            <w:pPr>
              <w:spacing w:before="107" w:line="184" w:lineRule="auto"/>
              <w:ind w:firstLine="29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价格部分</w:t>
            </w:r>
          </w:p>
        </w:tc>
        <w:tc>
          <w:tcPr>
            <w:tcW w:w="767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20" w:type="dxa"/>
            <w:vAlign w:val="top"/>
          </w:tcPr>
          <w:p>
            <w:pPr>
              <w:spacing w:before="193" w:line="212" w:lineRule="auto"/>
              <w:ind w:left="113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满足招标文件要求且投标价格最低的投标报价为评标价基准价，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其价格分为满分。</w:t>
            </w:r>
          </w:p>
          <w:p>
            <w:pPr>
              <w:spacing w:before="72"/>
              <w:ind w:left="112" w:right="102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价格分计算公式：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投标报价得分=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(评标基准价/有效投标报价)×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权重</w:t>
            </w:r>
          </w:p>
        </w:tc>
        <w:tc>
          <w:tcPr>
            <w:tcW w:w="767" w:type="dxa"/>
            <w:vAlign w:val="top"/>
          </w:tcPr>
          <w:p>
            <w:pPr>
              <w:spacing w:before="37" w:line="184" w:lineRule="auto"/>
              <w:ind w:firstLine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评分</w:t>
            </w:r>
          </w:p>
          <w:p>
            <w:pPr>
              <w:spacing w:before="72" w:line="184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方式</w:t>
            </w:r>
          </w:p>
          <w:p>
            <w:pPr>
              <w:spacing w:before="70" w:line="184" w:lineRule="auto"/>
              <w:ind w:firstLine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按公</w:t>
            </w:r>
          </w:p>
          <w:p>
            <w:pPr>
              <w:spacing w:before="72" w:line="184" w:lineRule="auto"/>
              <w:ind w:firstLine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式计</w:t>
            </w:r>
          </w:p>
          <w:p>
            <w:pPr>
              <w:spacing w:before="73" w:line="184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算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6" w:h="16839"/>
          <w:pgMar w:top="1431" w:right="1690" w:bottom="0" w:left="1689" w:header="0" w:footer="0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25"/>
        <w:gridCol w:w="1206"/>
        <w:gridCol w:w="482"/>
        <w:gridCol w:w="4707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</w:t>
            </w:r>
          </w:p>
        </w:tc>
        <w:tc>
          <w:tcPr>
            <w:tcW w:w="6920" w:type="dxa"/>
            <w:gridSpan w:val="4"/>
            <w:vAlign w:val="top"/>
          </w:tcPr>
          <w:p>
            <w:pPr>
              <w:spacing w:before="87" w:line="184" w:lineRule="auto"/>
              <w:ind w:firstLine="29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技术部分</w:t>
            </w:r>
          </w:p>
        </w:tc>
        <w:tc>
          <w:tcPr>
            <w:tcW w:w="767" w:type="dxa"/>
            <w:vAlign w:val="top"/>
          </w:tcPr>
          <w:p>
            <w:pPr>
              <w:spacing w:before="125" w:line="180" w:lineRule="auto"/>
              <w:ind w:firstLine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textDirection w:val="tbRlV"/>
            <w:vAlign w:val="top"/>
          </w:tcPr>
          <w:p>
            <w:pPr>
              <w:spacing w:before="142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06" w:type="dxa"/>
            <w:vAlign w:val="top"/>
          </w:tcPr>
          <w:p>
            <w:pPr>
              <w:spacing w:before="192" w:line="184" w:lineRule="auto"/>
              <w:ind w:firstLine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482" w:type="dxa"/>
            <w:textDirection w:val="tbRlV"/>
            <w:vAlign w:val="top"/>
          </w:tcPr>
          <w:p>
            <w:pPr>
              <w:spacing w:before="121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4707" w:type="dxa"/>
            <w:vAlign w:val="top"/>
          </w:tcPr>
          <w:p>
            <w:pPr>
              <w:spacing w:before="192" w:line="184" w:lineRule="auto"/>
              <w:ind w:firstLine="18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评分规则</w:t>
            </w:r>
          </w:p>
        </w:tc>
        <w:tc>
          <w:tcPr>
            <w:tcW w:w="767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before="78"/>
              <w:ind w:left="140" w:right="121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服务条款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响应情况</w:t>
            </w:r>
          </w:p>
        </w:tc>
        <w:tc>
          <w:tcPr>
            <w:tcW w:w="482" w:type="dxa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40</w:t>
            </w:r>
          </w:p>
        </w:tc>
        <w:tc>
          <w:tcPr>
            <w:tcW w:w="4707" w:type="dxa"/>
            <w:vAlign w:val="top"/>
          </w:tcPr>
          <w:p>
            <w:pPr>
              <w:spacing w:before="37" w:line="184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评审内容：</w:t>
            </w:r>
          </w:p>
          <w:p>
            <w:pPr>
              <w:spacing w:before="151"/>
              <w:ind w:left="113" w:right="102" w:firstLine="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投标人应如实填写《服务条款偏离表》，评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审委员会根据服务响应情况进行打分，各项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服务要求全部满足的得满分，一般参数每偏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离一项扣</w:t>
            </w:r>
            <w:r>
              <w:rPr>
                <w:rFonts w:ascii="新宋体" w:hAnsi="新宋体" w:eastAsia="新宋体" w:cs="新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5</w:t>
            </w:r>
            <w:r>
              <w:rPr>
                <w:rFonts w:ascii="新宋体" w:hAnsi="新宋体" w:eastAsia="新宋体" w:cs="新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分，扣完为止。</w:t>
            </w:r>
          </w:p>
          <w:p>
            <w:pPr>
              <w:spacing w:before="77" w:line="18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证明文件：</w:t>
            </w:r>
          </w:p>
          <w:p>
            <w:pPr>
              <w:spacing w:before="151"/>
              <w:ind w:left="112" w:right="10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投标人须按招标文件要求提供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《服务条款偏</w:t>
            </w:r>
            <w:r>
              <w:rPr>
                <w:rFonts w:ascii="新宋体" w:hAnsi="新宋体" w:eastAsia="新宋体" w:cs="新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离表》，关于本项目的项目服务要求内容已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在本项目评标方法中其余评分项进行扣分</w:t>
            </w:r>
            <w:r>
              <w:rPr>
                <w:rFonts w:ascii="新宋体" w:hAnsi="新宋体" w:eastAsia="新宋体" w:cs="新宋体"/>
                <w:spacing w:val="4"/>
                <w:w w:val="101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的，本项不再重复扣分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</w:p>
        </w:tc>
        <w:tc>
          <w:tcPr>
            <w:tcW w:w="767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238" w:lineRule="auto"/>
              <w:ind w:left="152" w:right="14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（三）</w:t>
            </w:r>
          </w:p>
        </w:tc>
        <w:tc>
          <w:tcPr>
            <w:tcW w:w="6920" w:type="dxa"/>
            <w:gridSpan w:val="4"/>
            <w:vAlign w:val="top"/>
          </w:tcPr>
          <w:p>
            <w:pPr>
              <w:spacing w:before="107" w:line="184" w:lineRule="auto"/>
              <w:ind w:firstLine="29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商务部分</w:t>
            </w:r>
          </w:p>
        </w:tc>
        <w:tc>
          <w:tcPr>
            <w:tcW w:w="767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textDirection w:val="tbRlV"/>
            <w:vAlign w:val="top"/>
          </w:tcPr>
          <w:p>
            <w:pPr>
              <w:spacing w:before="142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06" w:type="dxa"/>
            <w:vAlign w:val="top"/>
          </w:tcPr>
          <w:p>
            <w:pPr>
              <w:spacing w:before="192" w:line="184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评分因素</w:t>
            </w:r>
          </w:p>
        </w:tc>
        <w:tc>
          <w:tcPr>
            <w:tcW w:w="482" w:type="dxa"/>
            <w:textDirection w:val="tbRlV"/>
            <w:vAlign w:val="top"/>
          </w:tcPr>
          <w:p>
            <w:pPr>
              <w:spacing w:before="121" w:line="180" w:lineRule="auto"/>
              <w:ind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4707" w:type="dxa"/>
            <w:vAlign w:val="top"/>
          </w:tcPr>
          <w:p>
            <w:pPr>
              <w:spacing w:before="192" w:line="184" w:lineRule="auto"/>
              <w:ind w:firstLine="18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评分规则</w:t>
            </w:r>
          </w:p>
        </w:tc>
        <w:tc>
          <w:tcPr>
            <w:tcW w:w="767" w:type="dxa"/>
            <w:vAlign w:val="top"/>
          </w:tcPr>
          <w:p>
            <w:pPr>
              <w:spacing w:before="36" w:line="212" w:lineRule="auto"/>
              <w:ind w:left="149" w:right="14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79" w:line="238" w:lineRule="auto"/>
              <w:ind w:left="250" w:right="121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投标人信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用情况</w:t>
            </w:r>
          </w:p>
        </w:tc>
        <w:tc>
          <w:tcPr>
            <w:tcW w:w="482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4707" w:type="dxa"/>
            <w:vAlign w:val="top"/>
          </w:tcPr>
          <w:p>
            <w:pPr>
              <w:spacing w:before="38" w:line="184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评审内容：</w:t>
            </w:r>
          </w:p>
          <w:p>
            <w:pPr>
              <w:spacing w:before="151"/>
              <w:ind w:left="112" w:right="10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投标人近三年（2019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月至本项目投标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截止日）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在采购人单位中无不良记录，履约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信誉良好。符合要求得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分；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不符合要求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得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  <w:tc>
          <w:tcPr>
            <w:tcW w:w="767" w:type="dxa"/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79" w:line="238" w:lineRule="auto"/>
              <w:ind w:left="152" w:right="142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06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9" w:line="239" w:lineRule="auto"/>
              <w:ind w:left="188" w:right="183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拟安排的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项目驻点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成员情况</w:t>
            </w:r>
          </w:p>
        </w:tc>
        <w:tc>
          <w:tcPr>
            <w:tcW w:w="482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1"/>
                <w:szCs w:val="21"/>
              </w:rPr>
              <w:t>10</w:t>
            </w:r>
          </w:p>
        </w:tc>
        <w:tc>
          <w:tcPr>
            <w:tcW w:w="4707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69" w:line="184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评审内容：</w:t>
            </w:r>
          </w:p>
          <w:p>
            <w:pPr>
              <w:spacing w:before="180" w:line="274" w:lineRule="auto"/>
              <w:ind w:left="112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拟安排的项目驻点成员具有强大的服务能力，拥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有健康证的技术人员。符合要求得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分；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不符合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要求得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分。</w:t>
            </w:r>
          </w:p>
          <w:p>
            <w:pPr>
              <w:spacing w:before="78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证明文件：</w:t>
            </w:r>
          </w:p>
          <w:p>
            <w:pPr>
              <w:spacing w:before="179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所有工作人员健康证。</w:t>
            </w:r>
          </w:p>
        </w:tc>
        <w:tc>
          <w:tcPr>
            <w:tcW w:w="767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68" w:line="238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专家</w:t>
            </w:r>
          </w:p>
          <w:p>
            <w:pPr>
              <w:spacing w:line="204" w:lineRule="auto"/>
              <w:ind w:firstLine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打分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68" w:line="180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06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before="69" w:line="238" w:lineRule="auto"/>
              <w:ind w:left="397" w:right="183" w:hanging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送餐服务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保障</w:t>
            </w:r>
          </w:p>
        </w:tc>
        <w:tc>
          <w:tcPr>
            <w:tcW w:w="482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68" w:line="180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1"/>
                <w:szCs w:val="21"/>
              </w:rPr>
              <w:t>10</w:t>
            </w:r>
          </w:p>
        </w:tc>
        <w:tc>
          <w:tcPr>
            <w:tcW w:w="4707" w:type="dxa"/>
            <w:vAlign w:val="top"/>
          </w:tcPr>
          <w:p>
            <w:pPr>
              <w:spacing w:before="55" w:line="184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评审内容：</w:t>
            </w:r>
          </w:p>
          <w:p>
            <w:pPr>
              <w:spacing w:before="183" w:line="274" w:lineRule="auto"/>
              <w:ind w:left="110" w:right="18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承诺送餐服务，为工作繁忙的医务人员提供上门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送餐服务，并不会收取任何费用）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。符合要求得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7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7"/>
                <w:sz w:val="21"/>
                <w:szCs w:val="21"/>
              </w:rPr>
              <w:t>分；</w:t>
            </w:r>
            <w:r>
              <w:rPr>
                <w:rFonts w:ascii="宋体" w:hAnsi="宋体" w:eastAsia="宋体" w:cs="宋体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7"/>
                <w:sz w:val="21"/>
                <w:szCs w:val="21"/>
              </w:rPr>
              <w:t>不符合要求得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7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7"/>
                <w:sz w:val="21"/>
                <w:szCs w:val="21"/>
              </w:rPr>
              <w:t>分。</w:t>
            </w:r>
          </w:p>
        </w:tc>
        <w:tc>
          <w:tcPr>
            <w:tcW w:w="767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before="68" w:line="238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专家</w:t>
            </w:r>
          </w:p>
          <w:p>
            <w:pPr>
              <w:spacing w:line="204" w:lineRule="auto"/>
              <w:ind w:firstLine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打分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8" w:type="default"/>
      <w:pgSz w:w="11906" w:h="16839"/>
      <w:pgMar w:top="1431" w:right="1690" w:bottom="2347" w:left="1689" w:header="0" w:footer="179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right="111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xMTdhYmY0MmI3MzVlNWExOGEzYzUyOTI1MmVkZGIifQ=="/>
  </w:docVars>
  <w:rsids>
    <w:rsidRoot w:val="00000000"/>
    <w:rsid w:val="04137DFA"/>
    <w:rsid w:val="0AC46DD5"/>
    <w:rsid w:val="10F66AD9"/>
    <w:rsid w:val="1A676352"/>
    <w:rsid w:val="3492001F"/>
    <w:rsid w:val="34A71D15"/>
    <w:rsid w:val="3C942B7F"/>
    <w:rsid w:val="453018B3"/>
    <w:rsid w:val="49EF5851"/>
    <w:rsid w:val="509C776E"/>
    <w:rsid w:val="5CF7614C"/>
    <w:rsid w:val="79AC0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2052</Words>
  <Characters>2065</Characters>
  <TotalTime>11</TotalTime>
  <ScaleCrop>false</ScaleCrop>
  <LinksUpToDate>false</LinksUpToDate>
  <CharactersWithSpaces>2164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2022-04-29T21:37:00Z</dcterms:created>
  <dc:creator>Summer、 ҉҉҉҉҉҉҉҉❁</dc:creator>
  <cp:lastModifiedBy>Administrator</cp:lastModifiedBy>
  <dcterms:modified xsi:type="dcterms:W3CDTF">2022-05-12T04:36:09Z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2022-05-07T08:42:21Z</vt:filetime>
  </property>
  <property fmtid="{D5CDD505-2E9C-101B-9397-08002B2CF9AE}" pid="4" name="KSOProductBuildVer">
    <vt:lpwstr>2052-11.1.0.11691</vt:lpwstr>
  </property>
  <property fmtid="{D5CDD505-2E9C-101B-9397-08002B2CF9AE}" pid="5" name="ICV">
    <vt:lpwstr>9B3367AE9555403C96788090E6E4E2EA</vt:lpwstr>
  </property>
</Properties>
</file>