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36"/>
          <w:szCs w:val="36"/>
          <w:lang w:val="en-US" w:eastAsia="zh-CN"/>
        </w:rPr>
      </w:pPr>
      <w:r>
        <w:rPr>
          <w:rFonts w:hint="eastAsia" w:ascii="宋体" w:hAnsi="宋体"/>
          <w:b/>
          <w:color w:val="000000"/>
          <w:sz w:val="36"/>
          <w:szCs w:val="36"/>
          <w:lang w:val="en-US" w:eastAsia="zh-CN"/>
        </w:rPr>
        <w:t>惠阳中医医院污水处理设备采购需求</w:t>
      </w:r>
    </w:p>
    <w:p>
      <w:pPr>
        <w:pStyle w:val="4"/>
        <w:rPr>
          <w:rFonts w:hint="eastAsia"/>
          <w:lang w:val="en-US" w:eastAsia="zh-CN"/>
        </w:rPr>
      </w:pPr>
    </w:p>
    <w:p>
      <w:pPr>
        <w:pStyle w:val="2"/>
        <w:snapToGrid w:val="0"/>
        <w:spacing w:line="38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numPr>
          <w:ilvl w:val="0"/>
          <w:numId w:val="1"/>
        </w:numPr>
        <w:ind w:left="0" w:leftChars="0" w:firstLine="420" w:firstLineChars="175"/>
        <w:jc w:val="left"/>
        <w:rPr>
          <w:rFonts w:hint="eastAsia"/>
          <w:sz w:val="24"/>
          <w:szCs w:val="24"/>
          <w:lang w:eastAsia="zh-CN"/>
        </w:rPr>
      </w:pPr>
      <w:r>
        <w:rPr>
          <w:rFonts w:hint="eastAsia"/>
          <w:sz w:val="24"/>
          <w:szCs w:val="24"/>
        </w:rPr>
        <w:t>项目名称：</w:t>
      </w:r>
      <w:r>
        <w:rPr>
          <w:rFonts w:hint="eastAsia"/>
          <w:sz w:val="24"/>
          <w:szCs w:val="24"/>
          <w:lang w:eastAsia="zh-CN"/>
        </w:rPr>
        <w:t>污水处理设备采购</w:t>
      </w:r>
    </w:p>
    <w:p>
      <w:pPr>
        <w:numPr>
          <w:ilvl w:val="0"/>
          <w:numId w:val="1"/>
        </w:numPr>
        <w:ind w:left="0" w:leftChars="0" w:firstLine="420" w:firstLineChars="175"/>
        <w:jc w:val="left"/>
        <w:rPr>
          <w:rFonts w:hint="eastAsia" w:ascii="宋体" w:hAnsi="宋体" w:eastAsia="宋体" w:cs="宋体"/>
          <w:b/>
          <w:bCs/>
          <w:color w:val="auto"/>
          <w:kern w:val="0"/>
          <w:sz w:val="24"/>
          <w:szCs w:val="24"/>
          <w:lang w:val="en-US" w:eastAsia="zh-CN" w:bidi="ar-SA"/>
        </w:rPr>
      </w:pPr>
      <w:r>
        <w:rPr>
          <w:rFonts w:hint="eastAsia"/>
          <w:sz w:val="24"/>
          <w:szCs w:val="24"/>
        </w:rPr>
        <w:t>预算金额：人民币</w:t>
      </w:r>
      <w:r>
        <w:rPr>
          <w:rFonts w:hint="eastAsia"/>
          <w:sz w:val="24"/>
          <w:szCs w:val="24"/>
          <w:lang w:val="en-US" w:eastAsia="zh-CN"/>
        </w:rPr>
        <w:t>5.8</w:t>
      </w:r>
      <w:r>
        <w:rPr>
          <w:rFonts w:hint="eastAsia"/>
          <w:sz w:val="24"/>
          <w:szCs w:val="24"/>
        </w:rPr>
        <w:t>万元</w:t>
      </w:r>
    </w:p>
    <w:p>
      <w:pPr>
        <w:spacing w:line="360" w:lineRule="auto"/>
        <w:rPr>
          <w:rFonts w:ascii="宋体" w:hAnsi="宋体" w:cs="宋体"/>
          <w:b/>
          <w:bCs/>
          <w:kern w:val="0"/>
          <w:sz w:val="24"/>
        </w:rPr>
      </w:pPr>
      <w:r>
        <w:rPr>
          <w:rFonts w:ascii="宋体" w:hAnsi="宋体" w:cs="宋体"/>
          <w:b/>
          <w:bCs/>
          <w:kern w:val="0"/>
          <w:sz w:val="24"/>
        </w:rPr>
        <w:t>二、采购项目概况、内容及要求：</w:t>
      </w:r>
    </w:p>
    <w:p>
      <w:pPr>
        <w:numPr>
          <w:ilvl w:val="0"/>
          <w:numId w:val="2"/>
        </w:numPr>
        <w:spacing w:line="360" w:lineRule="auto"/>
        <w:rPr>
          <w:rFonts w:hint="eastAsia" w:ascii="宋体" w:hAnsi="宋体" w:cs="宋体"/>
          <w:kern w:val="0"/>
          <w:sz w:val="24"/>
          <w:lang w:val="zh-CN"/>
        </w:rPr>
      </w:pPr>
      <w:r>
        <w:rPr>
          <w:rFonts w:hint="eastAsia" w:ascii="宋体" w:hAnsi="宋体" w:cs="宋体"/>
          <w:b/>
          <w:sz w:val="24"/>
        </w:rPr>
        <w:t>采购项目需求清单</w:t>
      </w:r>
      <w:r>
        <w:rPr>
          <w:rFonts w:hint="eastAsia" w:ascii="宋体" w:hAnsi="宋体" w:cs="宋体"/>
          <w:b/>
          <w:bCs/>
          <w:kern w:val="0"/>
          <w:sz w:val="24"/>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959"/>
        <w:gridCol w:w="125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pPr>
              <w:autoSpaceDE w:val="0"/>
              <w:autoSpaceDN w:val="0"/>
              <w:adjustRightInd w:val="0"/>
              <w:jc w:val="center"/>
              <w:rPr>
                <w:rFonts w:ascii="宋体" w:cs="Arial"/>
                <w:bCs/>
                <w:sz w:val="24"/>
              </w:rPr>
            </w:pPr>
            <w:bookmarkStart w:id="0" w:name="_Toc490043083"/>
            <w:bookmarkStart w:id="1" w:name="_Toc484183906"/>
            <w:r>
              <w:rPr>
                <w:rFonts w:hint="eastAsia" w:ascii="宋体" w:hAnsi="宋体" w:cs="Arial"/>
                <w:bCs/>
                <w:sz w:val="24"/>
              </w:rPr>
              <w:t>序号</w:t>
            </w:r>
          </w:p>
        </w:tc>
        <w:tc>
          <w:tcPr>
            <w:tcW w:w="3959" w:type="dxa"/>
            <w:noWrap w:val="0"/>
            <w:vAlign w:val="center"/>
          </w:tcPr>
          <w:p>
            <w:pPr>
              <w:autoSpaceDE w:val="0"/>
              <w:autoSpaceDN w:val="0"/>
              <w:adjustRightInd w:val="0"/>
              <w:jc w:val="center"/>
              <w:rPr>
                <w:rFonts w:ascii="宋体" w:cs="Arial"/>
                <w:bCs/>
                <w:sz w:val="24"/>
              </w:rPr>
            </w:pPr>
            <w:r>
              <w:rPr>
                <w:rFonts w:hint="eastAsia" w:ascii="宋体" w:hAnsi="宋体" w:cs="Arial"/>
                <w:bCs/>
                <w:sz w:val="24"/>
              </w:rPr>
              <w:t>名称</w:t>
            </w:r>
          </w:p>
        </w:tc>
        <w:tc>
          <w:tcPr>
            <w:tcW w:w="1250" w:type="dxa"/>
            <w:noWrap w:val="0"/>
            <w:vAlign w:val="center"/>
          </w:tcPr>
          <w:p>
            <w:pPr>
              <w:autoSpaceDE w:val="0"/>
              <w:autoSpaceDN w:val="0"/>
              <w:adjustRightInd w:val="0"/>
              <w:jc w:val="center"/>
              <w:rPr>
                <w:rFonts w:ascii="宋体" w:cs="Arial"/>
                <w:bCs/>
                <w:sz w:val="24"/>
              </w:rPr>
            </w:pPr>
            <w:r>
              <w:rPr>
                <w:rFonts w:hint="eastAsia" w:ascii="宋体" w:hAnsi="宋体" w:cs="Arial"/>
                <w:bCs/>
                <w:sz w:val="24"/>
              </w:rPr>
              <w:t>数量</w:t>
            </w:r>
          </w:p>
        </w:tc>
        <w:tc>
          <w:tcPr>
            <w:tcW w:w="2281" w:type="dxa"/>
            <w:noWrap w:val="0"/>
            <w:vAlign w:val="center"/>
          </w:tcPr>
          <w:p>
            <w:pPr>
              <w:autoSpaceDE w:val="0"/>
              <w:autoSpaceDN w:val="0"/>
              <w:adjustRightInd w:val="0"/>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pPr>
              <w:autoSpaceDE w:val="0"/>
              <w:autoSpaceDN w:val="0"/>
              <w:adjustRightInd w:val="0"/>
              <w:jc w:val="center"/>
              <w:rPr>
                <w:rFonts w:ascii="宋体" w:hAnsi="宋体" w:cs="Arial"/>
                <w:bCs/>
                <w:sz w:val="24"/>
              </w:rPr>
            </w:pPr>
            <w:r>
              <w:rPr>
                <w:rFonts w:ascii="宋体" w:hAnsi="宋体" w:cs="Arial"/>
                <w:bCs/>
                <w:sz w:val="24"/>
              </w:rPr>
              <w:t>1</w:t>
            </w:r>
          </w:p>
        </w:tc>
        <w:tc>
          <w:tcPr>
            <w:tcW w:w="3959" w:type="dxa"/>
            <w:noWrap w:val="0"/>
            <w:vAlign w:val="center"/>
          </w:tcPr>
          <w:p>
            <w:pPr>
              <w:autoSpaceDE w:val="0"/>
              <w:autoSpaceDN w:val="0"/>
              <w:adjustRightInd w:val="0"/>
              <w:jc w:val="center"/>
              <w:rPr>
                <w:rFonts w:hint="eastAsia" w:ascii="宋体" w:cs="Arial"/>
                <w:bCs/>
                <w:sz w:val="24"/>
              </w:rPr>
            </w:pPr>
            <w:r>
              <w:rPr>
                <w:rFonts w:hint="eastAsia" w:ascii="MicrosoftYaHei" w:hAnsi="MicrosoftYaHei" w:cs="宋体"/>
                <w:bCs/>
                <w:color w:val="000000"/>
                <w:kern w:val="0"/>
                <w:sz w:val="24"/>
              </w:rPr>
              <w:t>污水处理设备</w:t>
            </w:r>
          </w:p>
        </w:tc>
        <w:tc>
          <w:tcPr>
            <w:tcW w:w="1250" w:type="dxa"/>
            <w:noWrap w:val="0"/>
            <w:vAlign w:val="center"/>
          </w:tcPr>
          <w:p>
            <w:pPr>
              <w:autoSpaceDE w:val="0"/>
              <w:autoSpaceDN w:val="0"/>
              <w:adjustRightInd w:val="0"/>
              <w:jc w:val="center"/>
              <w:rPr>
                <w:rFonts w:hint="eastAsia" w:ascii="宋体" w:hAnsi="宋体" w:cs="Arial" w:eastAsiaTheme="minorEastAsia"/>
                <w:bCs/>
                <w:sz w:val="24"/>
                <w:lang w:eastAsia="zh-CN"/>
              </w:rPr>
            </w:pPr>
            <w:r>
              <w:rPr>
                <w:rFonts w:hint="eastAsia" w:ascii="宋体" w:hAnsi="宋体" w:cs="Arial"/>
                <w:bCs/>
                <w:sz w:val="24"/>
                <w:lang w:val="en-US" w:eastAsia="zh-CN"/>
              </w:rPr>
              <w:t>1</w:t>
            </w:r>
          </w:p>
        </w:tc>
        <w:tc>
          <w:tcPr>
            <w:tcW w:w="2281" w:type="dxa"/>
            <w:noWrap w:val="0"/>
            <w:vAlign w:val="center"/>
          </w:tcPr>
          <w:p>
            <w:pPr>
              <w:autoSpaceDE w:val="0"/>
              <w:autoSpaceDN w:val="0"/>
              <w:adjustRightInd w:val="0"/>
              <w:jc w:val="center"/>
              <w:rPr>
                <w:rFonts w:ascii="宋体" w:hAnsi="宋体" w:cs="Arial"/>
                <w:bCs/>
                <w:sz w:val="24"/>
              </w:rPr>
            </w:pPr>
            <w:r>
              <w:rPr>
                <w:rFonts w:hint="eastAsia" w:ascii="宋体" w:hAnsi="宋体" w:cs="宋体"/>
                <w:sz w:val="24"/>
                <w:lang w:val="zh-CN"/>
              </w:rPr>
              <w:t>不允许进口</w:t>
            </w:r>
          </w:p>
        </w:tc>
      </w:tr>
    </w:tbl>
    <w:p>
      <w:pPr>
        <w:numPr>
          <w:ilvl w:val="0"/>
          <w:numId w:val="2"/>
        </w:numPr>
        <w:spacing w:line="360" w:lineRule="auto"/>
        <w:jc w:val="left"/>
        <w:rPr>
          <w:rFonts w:hint="eastAsia" w:ascii="宋体" w:hAnsi="宋体" w:cs="宋体"/>
          <w:b/>
          <w:bCs/>
          <w:sz w:val="24"/>
        </w:rPr>
      </w:pPr>
      <w:r>
        <w:rPr>
          <w:rFonts w:hint="eastAsia" w:ascii="宋体" w:hAnsi="宋体" w:cs="宋体"/>
          <w:b/>
          <w:bCs/>
          <w:sz w:val="24"/>
        </w:rPr>
        <w:t>技术要求：</w:t>
      </w:r>
    </w:p>
    <w:tbl>
      <w:tblPr>
        <w:tblStyle w:val="7"/>
        <w:tblW w:w="8985" w:type="dxa"/>
        <w:tblInd w:w="0" w:type="dxa"/>
        <w:tblLayout w:type="fixed"/>
        <w:tblCellMar>
          <w:top w:w="0" w:type="dxa"/>
          <w:left w:w="0" w:type="dxa"/>
          <w:bottom w:w="0" w:type="dxa"/>
          <w:right w:w="0" w:type="dxa"/>
        </w:tblCellMar>
      </w:tblPr>
      <w:tblGrid>
        <w:gridCol w:w="1080"/>
        <w:gridCol w:w="1080"/>
        <w:gridCol w:w="4095"/>
        <w:gridCol w:w="2730"/>
      </w:tblGrid>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分类</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名称</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参数</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基础参数</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箱体尺寸（长宽高 cm）</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80</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60</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75</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设备底座（高度 cm）</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电源</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220V</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消毒规模</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00T-</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00T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配药周期</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12-24H/次</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箱体</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箱体主体材质</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PVC板</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箱体厚度</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10mm</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进水</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进水阀</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电动阀自动进水、停水</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自动进水</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液位</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液位类型</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小型浮球开关</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液位点数（高）</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液位点数（低）</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搅拌</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搅拌方式</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磁力循环泵搅拌</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bidi="ar"/>
              </w:rPr>
              <w:t>磁力循环泵</w:t>
            </w:r>
            <w:r>
              <w:rPr>
                <w:rFonts w:hint="eastAsia" w:ascii="宋体" w:hAnsi="宋体" w:cs="宋体"/>
                <w:color w:val="000000"/>
                <w:kern w:val="0"/>
                <w:sz w:val="24"/>
                <w:lang w:eastAsia="zh-CN" w:bidi="ar"/>
              </w:rPr>
              <w:t>数量</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一台</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搅拌电机电压</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220V</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进出口径</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DN32</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搅拌时间可调</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加粉</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加粉提示</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提示方式</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指示灯</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投加</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投加方式</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正压投加+负压投加</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计量泵数量</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一台</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水射器进出口径</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DN15</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投加量手动调节</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排气</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方式</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负压排气</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清洗</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手动清洗</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手动排污</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电控</w:t>
            </w: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操作按钮</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4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电路板设计</w:t>
            </w: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bl>
    <w:p>
      <w:pPr>
        <w:pStyle w:val="3"/>
        <w:jc w:val="center"/>
        <w:rPr>
          <w:rFonts w:hint="eastAsia"/>
          <w:b/>
          <w:bCs/>
          <w:sz w:val="28"/>
          <w:szCs w:val="28"/>
        </w:rPr>
      </w:pPr>
    </w:p>
    <w:p>
      <w:pPr>
        <w:spacing w:line="360" w:lineRule="auto"/>
        <w:rPr>
          <w:rFonts w:ascii="宋体" w:cs="宋体"/>
          <w:b/>
          <w:bCs/>
          <w:kern w:val="0"/>
          <w:sz w:val="24"/>
        </w:rPr>
      </w:pPr>
      <w:r>
        <w:rPr>
          <w:rFonts w:ascii="宋体" w:hAnsi="宋体" w:cs="宋体"/>
          <w:b/>
          <w:bCs/>
          <w:kern w:val="0"/>
          <w:sz w:val="24"/>
        </w:rPr>
        <w:t>三、采购项目商务要求：</w:t>
      </w:r>
    </w:p>
    <w:bookmarkEnd w:id="0"/>
    <w:bookmarkEnd w:id="1"/>
    <w:p>
      <w:pPr>
        <w:spacing w:line="360" w:lineRule="auto"/>
        <w:rPr>
          <w:rFonts w:ascii="宋体" w:hAnsi="宋体"/>
          <w:b/>
          <w:sz w:val="24"/>
        </w:rPr>
      </w:pPr>
      <w:r>
        <w:rPr>
          <w:rFonts w:ascii="宋体" w:hAnsi="宋体"/>
          <w:b/>
          <w:sz w:val="24"/>
        </w:rPr>
        <w:t>1、报价要求：</w:t>
      </w:r>
    </w:p>
    <w:p>
      <w:pPr>
        <w:spacing w:line="360" w:lineRule="auto"/>
        <w:ind w:firstLine="480" w:firstLineChars="200"/>
        <w:rPr>
          <w:rFonts w:ascii="宋体" w:hAnsi="宋体"/>
          <w:bCs/>
          <w:sz w:val="24"/>
        </w:rPr>
      </w:pPr>
      <w:r>
        <w:rPr>
          <w:rFonts w:ascii="宋体" w:hAnsi="宋体"/>
          <w:bCs/>
          <w:sz w:val="24"/>
        </w:rPr>
        <w:t>1.1投标人报价应包括采购、运输、安装、调试、相关部门验收及保修期内的维护保养等所有费用，以及投标人认为必要的其他货物、材料、工程、服务。投标人报价视为按中标设计图纸范围内容完成施工的固定总价包干报价。</w:t>
      </w:r>
    </w:p>
    <w:p>
      <w:pPr>
        <w:spacing w:line="360" w:lineRule="auto"/>
        <w:ind w:firstLine="480" w:firstLineChars="200"/>
        <w:rPr>
          <w:rFonts w:ascii="宋体" w:hAnsi="宋体"/>
          <w:bCs/>
          <w:sz w:val="24"/>
        </w:rPr>
      </w:pPr>
      <w:r>
        <w:rPr>
          <w:rFonts w:ascii="宋体" w:hAnsi="宋体"/>
          <w:bCs/>
          <w:sz w:val="24"/>
        </w:rPr>
        <w:t>1.2投标人应自行增加设备正常、合法、安全运行及使用所必须但招标文件没有包含的所有设备、版权、专利等一切费用。</w:t>
      </w:r>
    </w:p>
    <w:p>
      <w:pPr>
        <w:rPr>
          <w:rFonts w:ascii="宋体" w:hAnsi="宋体"/>
          <w:b/>
          <w:sz w:val="24"/>
        </w:rPr>
      </w:pPr>
      <w:r>
        <w:rPr>
          <w:rFonts w:ascii="宋体" w:hAnsi="宋体"/>
          <w:b/>
          <w:bCs/>
          <w:sz w:val="24"/>
        </w:rPr>
        <w:t>2、</w:t>
      </w:r>
      <w:r>
        <w:rPr>
          <w:rFonts w:ascii="宋体" w:hAnsi="宋体"/>
          <w:b/>
          <w:sz w:val="24"/>
        </w:rPr>
        <w:t>质量标准</w:t>
      </w:r>
    </w:p>
    <w:p>
      <w:pPr>
        <w:tabs>
          <w:tab w:val="left" w:pos="1560"/>
        </w:tabs>
        <w:spacing w:line="360" w:lineRule="auto"/>
        <w:ind w:firstLine="480" w:firstLineChars="200"/>
        <w:rPr>
          <w:rFonts w:ascii="宋体" w:hAnsi="宋体"/>
          <w:color w:val="000000"/>
          <w:sz w:val="24"/>
        </w:rPr>
      </w:pPr>
      <w:r>
        <w:rPr>
          <w:rFonts w:ascii="宋体" w:hAnsi="宋体"/>
          <w:color w:val="000000"/>
          <w:sz w:val="24"/>
        </w:rPr>
        <w:t>2.1中标人所投货物必须是厂商原装的、全新的、型号、性能及指标符合或优于国家及招标文件提出的有关技术、质量、安全标准、要求的货物。</w:t>
      </w:r>
    </w:p>
    <w:p>
      <w:pPr>
        <w:tabs>
          <w:tab w:val="left" w:pos="1560"/>
        </w:tabs>
        <w:spacing w:line="360" w:lineRule="auto"/>
        <w:ind w:firstLine="480" w:firstLineChars="200"/>
        <w:rPr>
          <w:rFonts w:ascii="宋体" w:hAnsi="宋体"/>
          <w:color w:val="000000"/>
          <w:sz w:val="24"/>
        </w:rPr>
      </w:pPr>
      <w:r>
        <w:rPr>
          <w:rFonts w:ascii="宋体" w:hAnsi="宋体"/>
          <w:color w:val="000000"/>
          <w:sz w:val="24"/>
        </w:rPr>
        <w:t>2.2所投货物必须符合国家质量检测标准和专业设备检测标准。</w:t>
      </w:r>
    </w:p>
    <w:p>
      <w:pPr>
        <w:tabs>
          <w:tab w:val="left" w:pos="1560"/>
        </w:tabs>
        <w:spacing w:line="360" w:lineRule="auto"/>
        <w:ind w:firstLine="480" w:firstLineChars="200"/>
        <w:rPr>
          <w:rFonts w:ascii="宋体" w:hAnsi="宋体"/>
          <w:color w:val="000000"/>
          <w:sz w:val="24"/>
        </w:rPr>
      </w:pPr>
      <w:r>
        <w:rPr>
          <w:rFonts w:ascii="宋体" w:hAnsi="宋体"/>
          <w:color w:val="000000"/>
          <w:sz w:val="24"/>
        </w:rPr>
        <w:t>2.3设备包装均应有良好的防湿、防锈、防潮、防雨、防腐及防碰撞的措施。凡由于包装不良造成的损失和由此产生的费用均由中标人承担。</w:t>
      </w:r>
    </w:p>
    <w:p>
      <w:pPr>
        <w:tabs>
          <w:tab w:val="left" w:pos="600"/>
        </w:tabs>
        <w:spacing w:line="360" w:lineRule="auto"/>
        <w:rPr>
          <w:rFonts w:ascii="宋体" w:hAnsi="宋体"/>
          <w:b/>
          <w:bCs/>
          <w:color w:val="000000"/>
          <w:sz w:val="24"/>
        </w:rPr>
      </w:pPr>
      <w:r>
        <w:rPr>
          <w:rFonts w:ascii="宋体" w:hAnsi="宋体"/>
          <w:b/>
          <w:bCs/>
          <w:color w:val="000000"/>
          <w:sz w:val="24"/>
        </w:rPr>
        <w:t>3、运输及保管</w:t>
      </w:r>
    </w:p>
    <w:p>
      <w:pPr>
        <w:tabs>
          <w:tab w:val="left" w:pos="600"/>
        </w:tabs>
        <w:spacing w:line="360" w:lineRule="auto"/>
        <w:ind w:firstLine="480" w:firstLineChars="200"/>
        <w:rPr>
          <w:rFonts w:ascii="宋体" w:hAnsi="宋体"/>
          <w:color w:val="000000"/>
          <w:sz w:val="24"/>
        </w:rPr>
      </w:pPr>
      <w:r>
        <w:rPr>
          <w:rFonts w:ascii="宋体" w:hAnsi="宋体"/>
          <w:color w:val="000000"/>
          <w:sz w:val="24"/>
        </w:rPr>
        <w:t>3.1中标人负责根据各品目不同的安装地点，负责将设备材料送到指定现场过程中的全部运输；包括装卸车、货物现场的搬运、设备的安装、调试等；</w:t>
      </w:r>
    </w:p>
    <w:p>
      <w:pPr>
        <w:tabs>
          <w:tab w:val="left" w:pos="600"/>
        </w:tabs>
        <w:spacing w:line="360" w:lineRule="auto"/>
        <w:ind w:firstLine="480" w:firstLineChars="200"/>
        <w:rPr>
          <w:rFonts w:ascii="宋体" w:hAnsi="宋体"/>
          <w:color w:val="000000"/>
          <w:sz w:val="24"/>
        </w:rPr>
      </w:pPr>
      <w:r>
        <w:rPr>
          <w:rFonts w:ascii="宋体" w:hAnsi="宋体"/>
          <w:color w:val="000000"/>
          <w:sz w:val="24"/>
        </w:rPr>
        <w:t>3.2各种设备，必须提供装箱清单，按装箱清单验收货物；</w:t>
      </w:r>
    </w:p>
    <w:p>
      <w:pPr>
        <w:tabs>
          <w:tab w:val="left" w:pos="600"/>
        </w:tabs>
        <w:spacing w:line="360" w:lineRule="auto"/>
        <w:ind w:firstLine="480" w:firstLineChars="200"/>
        <w:rPr>
          <w:rFonts w:ascii="宋体" w:hAnsi="宋体"/>
          <w:color w:val="000000"/>
          <w:sz w:val="24"/>
        </w:rPr>
      </w:pPr>
      <w:r>
        <w:rPr>
          <w:rFonts w:ascii="宋体" w:hAnsi="宋体"/>
          <w:color w:val="000000"/>
          <w:sz w:val="24"/>
        </w:rPr>
        <w:t>3.3货物在现场的保管由中标人负责，直至项目安装、验收完毕；</w:t>
      </w:r>
    </w:p>
    <w:p>
      <w:pPr>
        <w:tabs>
          <w:tab w:val="left" w:pos="600"/>
        </w:tabs>
        <w:spacing w:line="360" w:lineRule="auto"/>
        <w:ind w:firstLine="480" w:firstLineChars="200"/>
        <w:rPr>
          <w:rFonts w:ascii="宋体" w:hAnsi="宋体"/>
          <w:color w:val="000000"/>
          <w:sz w:val="24"/>
        </w:rPr>
      </w:pPr>
      <w:r>
        <w:rPr>
          <w:rFonts w:ascii="宋体" w:hAnsi="宋体"/>
          <w:color w:val="000000"/>
          <w:sz w:val="24"/>
        </w:rPr>
        <w:t>3.4货物在安装调试验收合格前的保险由中标人负责，中标人负责其派出的现场服务人员人身意外保险，并报采购人审核。</w:t>
      </w:r>
    </w:p>
    <w:p>
      <w:pPr>
        <w:rPr>
          <w:rFonts w:ascii="宋体" w:hAnsi="宋体"/>
          <w:b/>
          <w:sz w:val="24"/>
        </w:rPr>
      </w:pPr>
      <w:r>
        <w:rPr>
          <w:rFonts w:ascii="宋体" w:hAnsi="宋体"/>
          <w:b/>
          <w:sz w:val="24"/>
        </w:rPr>
        <w:t>4、安装与调试</w:t>
      </w:r>
    </w:p>
    <w:p>
      <w:pPr>
        <w:spacing w:line="360" w:lineRule="auto"/>
        <w:ind w:firstLine="480" w:firstLineChars="200"/>
        <w:rPr>
          <w:rFonts w:ascii="宋体" w:hAnsi="宋体"/>
          <w:color w:val="000000"/>
          <w:sz w:val="24"/>
        </w:rPr>
      </w:pPr>
      <w:r>
        <w:rPr>
          <w:rFonts w:ascii="宋体" w:hAnsi="宋体"/>
          <w:color w:val="000000"/>
          <w:sz w:val="24"/>
        </w:rPr>
        <w:t>4.1安装：中标人负责到各品目不同的安装地点进行安装调试。中标人应提交详细安装进度表。中标人应设安装负责人，负责安装协调管理工作。安装所需工具设施物料由中标人自备、自费运到现场，完工后自费搬走。</w:t>
      </w:r>
    </w:p>
    <w:p>
      <w:pPr>
        <w:spacing w:line="360" w:lineRule="auto"/>
        <w:ind w:firstLine="480" w:firstLineChars="200"/>
        <w:rPr>
          <w:rFonts w:ascii="宋体" w:hAnsi="宋体"/>
          <w:color w:val="000000"/>
          <w:sz w:val="24"/>
        </w:rPr>
      </w:pPr>
      <w:r>
        <w:rPr>
          <w:rFonts w:ascii="宋体" w:hAnsi="宋体"/>
          <w:color w:val="000000"/>
          <w:sz w:val="24"/>
        </w:rPr>
        <w:t>4.2调试：按国家相关施工验收规范进行，分阶段进行调试。设备的拆箱、安装、通电、调试等项工作由中标人负责，但必须在采购人指定人员的参与下进行。调试的原始记录须经各方签字后作为验收的文件之一。</w:t>
      </w:r>
    </w:p>
    <w:p>
      <w:pPr>
        <w:tabs>
          <w:tab w:val="left" w:pos="3576"/>
        </w:tabs>
        <w:spacing w:line="360" w:lineRule="auto"/>
        <w:rPr>
          <w:rFonts w:hint="eastAsia" w:ascii="宋体" w:hAnsi="宋体" w:eastAsiaTheme="minorEastAsia"/>
          <w:b/>
          <w:color w:val="000000"/>
          <w:sz w:val="24"/>
          <w:lang w:eastAsia="zh-CN"/>
        </w:rPr>
      </w:pPr>
      <w:r>
        <w:rPr>
          <w:rFonts w:hint="eastAsia" w:ascii="宋体" w:hAnsi="宋体"/>
          <w:b/>
          <w:color w:val="000000"/>
          <w:sz w:val="24"/>
          <w:lang w:eastAsia="zh-CN"/>
        </w:rPr>
        <w:tab/>
      </w:r>
    </w:p>
    <w:p>
      <w:pPr>
        <w:spacing w:line="360" w:lineRule="auto"/>
        <w:rPr>
          <w:rFonts w:ascii="宋体" w:hAnsi="宋体"/>
          <w:b/>
          <w:color w:val="000000"/>
          <w:sz w:val="24"/>
        </w:rPr>
      </w:pPr>
      <w:r>
        <w:rPr>
          <w:rFonts w:hint="eastAsia" w:ascii="宋体" w:hAnsi="宋体"/>
          <w:b/>
          <w:color w:val="000000"/>
          <w:sz w:val="24"/>
          <w:lang w:val="en-US" w:eastAsia="zh-CN"/>
        </w:rPr>
        <w:t>5</w:t>
      </w:r>
      <w:r>
        <w:rPr>
          <w:rFonts w:ascii="宋体" w:hAnsi="宋体"/>
          <w:b/>
          <w:color w:val="000000"/>
          <w:sz w:val="24"/>
        </w:rPr>
        <w:t>、质量保证及售后服务</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.1质保期：中标人所投设备必须满足采购人需求中提出的质保期要求；未具体要求的，按厂家标准，但不能少于壹年。（按验收合格之日起计，若采购人有特殊要求的，按采购人要求执行）。</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.2保修期内采购人所购设备各部件发生非人为故障，中标人应免费上门更换同种品牌不低于原规格型号的新部件。</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.3保修期间内同一硬件一个月内连续3次出现同一故障，供货商须无偿更换同一档次设备，并出具质量承诺书。</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.4保修期后，产品厂商须继续提供产品使用运行的技术支持，包括故障排除及零备件的供应等。</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.5供应商应提供包括但不限于满足设备安装、使用和维护的技术文件，如仪器和附件箱清单、质量合格检定证明文件、保修服务卡、使用中文说明和中文维护手册。</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.6提供标准电话技术支持（7×24小时）。免费质保期内维修人员接到维修通知后30分钟内响应，4小时内到达现场，除特殊情况外，故障排除时间不超过24小时。</w:t>
      </w:r>
    </w:p>
    <w:p>
      <w:pPr>
        <w:spacing w:line="360" w:lineRule="auto"/>
        <w:ind w:firstLine="241" w:firstLineChars="100"/>
        <w:rPr>
          <w:rFonts w:ascii="宋体" w:hAnsi="宋体"/>
          <w:b/>
          <w:bCs/>
          <w:color w:val="000000"/>
          <w:sz w:val="24"/>
        </w:rPr>
      </w:pPr>
      <w:r>
        <w:rPr>
          <w:rFonts w:hint="eastAsia" w:ascii="宋体" w:hAnsi="宋体"/>
          <w:b/>
          <w:bCs/>
          <w:color w:val="000000"/>
          <w:sz w:val="24"/>
          <w:lang w:val="en-US" w:eastAsia="zh-CN"/>
        </w:rPr>
        <w:t>6</w:t>
      </w:r>
      <w:r>
        <w:rPr>
          <w:rFonts w:ascii="宋体" w:hAnsi="宋体"/>
          <w:b/>
          <w:bCs/>
          <w:color w:val="000000"/>
          <w:sz w:val="24"/>
        </w:rPr>
        <w:t>、技术资料</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6</w:t>
      </w:r>
      <w:r>
        <w:rPr>
          <w:rFonts w:ascii="宋体" w:hAnsi="宋体"/>
          <w:color w:val="000000"/>
          <w:sz w:val="24"/>
        </w:rPr>
        <w:t>.1提供完整的技术资料，包括：产品验收标准（含产品合格证验收清单等）；技术说明书；使用说明书；采购人手册（中文）；设备安装调试资料、维修线路原理图及其维修资料；零部件目录；配置清单、分项价格及耗材价格；备品备件易耗件清单及合同中要求的其他文件资料。</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6</w:t>
      </w:r>
      <w:r>
        <w:rPr>
          <w:rFonts w:ascii="宋体" w:hAnsi="宋体"/>
          <w:color w:val="000000"/>
          <w:sz w:val="24"/>
        </w:rPr>
        <w:t>.2货物装箱清单，包括但不限于配件、备品备件、专用工具和软件等。</w:t>
      </w:r>
    </w:p>
    <w:p>
      <w:pPr>
        <w:numPr>
          <w:ilvl w:val="0"/>
          <w:numId w:val="0"/>
        </w:numPr>
        <w:jc w:val="left"/>
        <w:outlineLvl w:val="1"/>
        <w:rPr>
          <w:rFonts w:hint="eastAsia" w:ascii="宋体" w:hAnsi="宋体" w:eastAsia="宋体" w:cs="宋体"/>
          <w:b/>
          <w:bCs/>
          <w:color w:val="auto"/>
          <w:kern w:val="0"/>
          <w:sz w:val="24"/>
          <w:szCs w:val="24"/>
          <w:lang w:val="en-US" w:eastAsia="zh-CN" w:bidi="ar-SA"/>
        </w:rPr>
      </w:pPr>
    </w:p>
    <w:p>
      <w:pPr>
        <w:numPr>
          <w:ilvl w:val="0"/>
          <w:numId w:val="0"/>
        </w:numPr>
        <w:jc w:val="left"/>
        <w:outlineLvl w:val="1"/>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四、评分规则</w:t>
      </w:r>
    </w:p>
    <w:p>
      <w:pPr>
        <w:spacing w:line="360" w:lineRule="auto"/>
        <w:ind w:firstLine="482" w:firstLineChars="200"/>
        <w:rPr>
          <w:sz w:val="18"/>
        </w:rPr>
      </w:pPr>
      <w:r>
        <w:rPr>
          <w:rFonts w:hint="eastAsia" w:ascii="宋体" w:hAnsi="宋体" w:cs="宋体"/>
          <w:b/>
          <w:bCs/>
          <w:kern w:val="0"/>
          <w:sz w:val="24"/>
        </w:rPr>
        <w:t>综合评分表</w:t>
      </w:r>
    </w:p>
    <w:tbl>
      <w:tblPr>
        <w:tblStyle w:val="7"/>
        <w:tblW w:w="94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2"/>
        <w:gridCol w:w="345"/>
        <w:gridCol w:w="1575"/>
        <w:gridCol w:w="765"/>
        <w:gridCol w:w="6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837" w:type="dxa"/>
            <w:gridSpan w:val="2"/>
            <w:noWrap w:val="0"/>
            <w:vAlign w:val="center"/>
          </w:tcPr>
          <w:p>
            <w:pPr>
              <w:jc w:val="center"/>
              <w:rPr>
                <w:rFonts w:ascii="宋体" w:hAnsi="宋体" w:cs="宋体"/>
                <w:b/>
                <w:bCs/>
                <w:kern w:val="0"/>
                <w:sz w:val="24"/>
              </w:rPr>
            </w:pPr>
            <w:r>
              <w:rPr>
                <w:rFonts w:ascii="宋体" w:hAnsi="宋体" w:cs="宋体"/>
                <w:b/>
                <w:bCs/>
                <w:kern w:val="0"/>
                <w:sz w:val="24"/>
              </w:rPr>
              <w:t>评审因素</w:t>
            </w:r>
          </w:p>
        </w:tc>
        <w:tc>
          <w:tcPr>
            <w:tcW w:w="1575" w:type="dxa"/>
            <w:noWrap w:val="0"/>
            <w:vAlign w:val="center"/>
          </w:tcPr>
          <w:p>
            <w:pPr>
              <w:jc w:val="center"/>
              <w:rPr>
                <w:rFonts w:ascii="宋体" w:hAnsi="宋体" w:cs="宋体"/>
                <w:b/>
                <w:bCs/>
                <w:kern w:val="0"/>
                <w:sz w:val="24"/>
              </w:rPr>
            </w:pPr>
            <w:r>
              <w:rPr>
                <w:rFonts w:ascii="宋体" w:hAnsi="宋体" w:cs="宋体"/>
                <w:b/>
                <w:bCs/>
                <w:kern w:val="0"/>
                <w:sz w:val="24"/>
              </w:rPr>
              <w:t>评审分项</w:t>
            </w:r>
          </w:p>
        </w:tc>
        <w:tc>
          <w:tcPr>
            <w:tcW w:w="765" w:type="dxa"/>
            <w:noWrap w:val="0"/>
            <w:vAlign w:val="center"/>
          </w:tcPr>
          <w:p>
            <w:pPr>
              <w:jc w:val="center"/>
              <w:rPr>
                <w:rFonts w:ascii="宋体" w:hAnsi="宋体" w:cs="宋体"/>
                <w:b/>
                <w:bCs/>
                <w:kern w:val="0"/>
                <w:sz w:val="24"/>
              </w:rPr>
            </w:pPr>
            <w:r>
              <w:rPr>
                <w:rFonts w:ascii="宋体" w:hAnsi="宋体" w:cs="宋体"/>
                <w:b/>
                <w:bCs/>
                <w:kern w:val="0"/>
                <w:sz w:val="24"/>
              </w:rPr>
              <w:t>分值</w:t>
            </w:r>
          </w:p>
        </w:tc>
        <w:tc>
          <w:tcPr>
            <w:tcW w:w="6280" w:type="dxa"/>
            <w:noWrap w:val="0"/>
            <w:vAlign w:val="center"/>
          </w:tcPr>
          <w:p>
            <w:pPr>
              <w:jc w:val="center"/>
              <w:rPr>
                <w:rFonts w:ascii="宋体" w:hAnsi="宋体" w:cs="宋体"/>
                <w:b/>
                <w:bCs/>
                <w:kern w:val="0"/>
                <w:sz w:val="24"/>
              </w:rPr>
            </w:pPr>
            <w:r>
              <w:rPr>
                <w:rFonts w:ascii="宋体" w:hAnsi="宋体" w:cs="宋体"/>
                <w:b/>
                <w:bCs/>
                <w:kern w:val="0"/>
                <w:sz w:val="24"/>
              </w:rPr>
              <w:t>评分细则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jc w:val="center"/>
        </w:trPr>
        <w:tc>
          <w:tcPr>
            <w:tcW w:w="2412" w:type="dxa"/>
            <w:gridSpan w:val="3"/>
            <w:noWrap w:val="0"/>
            <w:vAlign w:val="center"/>
          </w:tcPr>
          <w:p>
            <w:pPr>
              <w:jc w:val="center"/>
              <w:rPr>
                <w:rFonts w:ascii="宋体" w:hAnsi="宋体" w:cs="宋体"/>
                <w:color w:val="auto"/>
                <w:kern w:val="0"/>
                <w:sz w:val="24"/>
              </w:rPr>
            </w:pPr>
            <w:r>
              <w:rPr>
                <w:rFonts w:ascii="宋体" w:hAnsi="宋体" w:cs="宋体"/>
                <w:color w:val="auto"/>
                <w:kern w:val="0"/>
                <w:sz w:val="24"/>
              </w:rPr>
              <w:t>价格</w:t>
            </w:r>
          </w:p>
        </w:tc>
        <w:tc>
          <w:tcPr>
            <w:tcW w:w="765" w:type="dxa"/>
            <w:noWrap w:val="0"/>
            <w:vAlign w:val="center"/>
          </w:tcPr>
          <w:p>
            <w:pPr>
              <w:jc w:val="center"/>
              <w:rPr>
                <w:rFonts w:ascii="宋体" w:hAnsi="宋体" w:cs="宋体"/>
                <w:color w:val="auto"/>
                <w:kern w:val="0"/>
                <w:sz w:val="24"/>
              </w:rPr>
            </w:pPr>
            <w:r>
              <w:rPr>
                <w:rFonts w:ascii="宋体" w:hAnsi="宋体" w:cs="宋体"/>
                <w:color w:val="auto"/>
                <w:kern w:val="0"/>
                <w:sz w:val="24"/>
              </w:rPr>
              <w:t>30</w:t>
            </w:r>
          </w:p>
        </w:tc>
        <w:tc>
          <w:tcPr>
            <w:tcW w:w="6280" w:type="dxa"/>
            <w:noWrap w:val="0"/>
            <w:vAlign w:val="top"/>
          </w:tcPr>
          <w:p>
            <w:pPr>
              <w:rPr>
                <w:rFonts w:ascii="宋体" w:hAnsi="宋体" w:cs="宋体"/>
                <w:color w:val="auto"/>
                <w:kern w:val="0"/>
                <w:sz w:val="24"/>
              </w:rPr>
            </w:pPr>
            <w:r>
              <w:rPr>
                <w:rFonts w:ascii="宋体" w:hAnsi="宋体" w:cs="宋体"/>
                <w:color w:val="auto"/>
                <w:kern w:val="0"/>
                <w:sz w:val="24"/>
              </w:rPr>
              <w:t>价格评估得分采用低价优先法计算，即通过初审且投标报价最低的投标报价为评标基准价，其价格为满分30分。其他投标人的价格分统一按照下列公式计算：投标人价格得分=（评标基准价/投标报价）×30。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5" w:hRule="atLeast"/>
          <w:jc w:val="center"/>
        </w:trPr>
        <w:tc>
          <w:tcPr>
            <w:tcW w:w="492" w:type="dxa"/>
            <w:vMerge w:val="restart"/>
            <w:noWrap w:val="0"/>
            <w:vAlign w:val="center"/>
          </w:tcPr>
          <w:p>
            <w:pPr>
              <w:jc w:val="center"/>
              <w:rPr>
                <w:rFonts w:ascii="宋体" w:hAnsi="宋体" w:cs="宋体"/>
                <w:color w:val="auto"/>
                <w:kern w:val="0"/>
                <w:sz w:val="24"/>
              </w:rPr>
            </w:pPr>
            <w:r>
              <w:rPr>
                <w:rFonts w:ascii="宋体" w:hAnsi="宋体" w:cs="宋体"/>
                <w:color w:val="auto"/>
                <w:kern w:val="0"/>
                <w:sz w:val="24"/>
              </w:rPr>
              <w:t>技术</w:t>
            </w:r>
          </w:p>
          <w:p>
            <w:pPr>
              <w:jc w:val="center"/>
              <w:rPr>
                <w:rFonts w:ascii="宋体" w:hAnsi="宋体" w:cs="宋体"/>
                <w:color w:val="auto"/>
                <w:kern w:val="0"/>
                <w:sz w:val="24"/>
              </w:rPr>
            </w:pPr>
            <w:r>
              <w:rPr>
                <w:rFonts w:hint="eastAsia" w:ascii="宋体" w:hAnsi="宋体" w:cs="宋体"/>
                <w:color w:val="auto"/>
                <w:kern w:val="0"/>
                <w:sz w:val="24"/>
                <w:lang w:eastAsia="zh-CN"/>
              </w:rPr>
              <w:t>商务评审项目</w:t>
            </w:r>
          </w:p>
        </w:tc>
        <w:tc>
          <w:tcPr>
            <w:tcW w:w="1920" w:type="dxa"/>
            <w:gridSpan w:val="2"/>
            <w:vMerge w:val="restart"/>
            <w:noWrap w:val="0"/>
            <w:vAlign w:val="center"/>
          </w:tcPr>
          <w:p>
            <w:pPr>
              <w:jc w:val="center"/>
              <w:rPr>
                <w:rFonts w:ascii="宋体" w:hAnsi="宋体" w:cs="宋体"/>
                <w:color w:val="auto"/>
                <w:kern w:val="0"/>
                <w:sz w:val="24"/>
              </w:rPr>
            </w:pPr>
            <w:r>
              <w:rPr>
                <w:rFonts w:ascii="宋体" w:hAnsi="宋体" w:cs="宋体"/>
                <w:color w:val="auto"/>
                <w:kern w:val="0"/>
                <w:sz w:val="24"/>
              </w:rPr>
              <w:t>产品配置及技术参数</w:t>
            </w:r>
          </w:p>
        </w:tc>
        <w:tc>
          <w:tcPr>
            <w:tcW w:w="765" w:type="dxa"/>
            <w:noWrap w:val="0"/>
            <w:vAlign w:val="center"/>
          </w:tcPr>
          <w:p>
            <w:pPr>
              <w:jc w:val="center"/>
              <w:rPr>
                <w:rFonts w:ascii="宋体" w:hAnsi="宋体" w:cs="宋体"/>
                <w:color w:val="auto"/>
                <w:kern w:val="0"/>
                <w:sz w:val="24"/>
              </w:rPr>
            </w:pPr>
            <w:r>
              <w:rPr>
                <w:rFonts w:hint="eastAsia" w:ascii="宋体" w:hAnsi="宋体" w:cs="宋体"/>
                <w:color w:val="auto"/>
                <w:kern w:val="0"/>
                <w:sz w:val="24"/>
              </w:rPr>
              <w:t>26</w:t>
            </w:r>
          </w:p>
        </w:tc>
        <w:tc>
          <w:tcPr>
            <w:tcW w:w="6280" w:type="dxa"/>
            <w:noWrap w:val="0"/>
            <w:vAlign w:val="top"/>
          </w:tcPr>
          <w:p>
            <w:pPr>
              <w:rPr>
                <w:rFonts w:ascii="宋体" w:hAnsi="宋体" w:cs="宋体"/>
                <w:color w:val="auto"/>
                <w:kern w:val="0"/>
                <w:sz w:val="24"/>
              </w:rPr>
            </w:pPr>
            <w:r>
              <w:rPr>
                <w:rFonts w:ascii="宋体" w:hAnsi="宋体" w:cs="宋体"/>
                <w:color w:val="auto"/>
                <w:kern w:val="0"/>
                <w:sz w:val="24"/>
              </w:rPr>
              <w:t xml:space="preserve">技术指标及规格要求中每偏离（不满足）一条或一项扣 </w:t>
            </w:r>
            <w:r>
              <w:rPr>
                <w:rFonts w:hint="eastAsia" w:ascii="宋体" w:hAnsi="宋体" w:cs="宋体"/>
                <w:color w:val="auto"/>
                <w:kern w:val="0"/>
                <w:sz w:val="24"/>
              </w:rPr>
              <w:t>2</w:t>
            </w:r>
            <w:r>
              <w:rPr>
                <w:rFonts w:ascii="宋体" w:hAnsi="宋体" w:cs="宋体"/>
                <w:color w:val="auto"/>
                <w:kern w:val="0"/>
                <w:sz w:val="24"/>
              </w:rPr>
              <w:t>分</w:t>
            </w:r>
            <w:r>
              <w:rPr>
                <w:rFonts w:hint="eastAsia" w:ascii="宋体" w:hAnsi="宋体" w:cs="宋体"/>
                <w:color w:val="auto"/>
                <w:kern w:val="0"/>
                <w:sz w:val="24"/>
              </w:rPr>
              <w:t>，</w:t>
            </w:r>
            <w:r>
              <w:rPr>
                <w:rFonts w:ascii="宋体" w:hAnsi="宋体" w:cs="宋体"/>
                <w:color w:val="auto"/>
                <w:kern w:val="0"/>
                <w:sz w:val="24"/>
              </w:rPr>
              <w:t>本项分数扣完为止；提供产品中文说明书或彩页资料或厂家出具的技术说明函证明其所投产品能满足或达到招标要求，不能提供证明材料的视为不满足。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92" w:type="dxa"/>
            <w:vMerge w:val="continue"/>
            <w:noWrap w:val="0"/>
            <w:vAlign w:val="center"/>
          </w:tcPr>
          <w:p>
            <w:pPr>
              <w:jc w:val="center"/>
              <w:rPr>
                <w:rFonts w:ascii="宋体" w:hAnsi="宋体" w:cs="宋体"/>
                <w:color w:val="auto"/>
                <w:kern w:val="0"/>
                <w:sz w:val="24"/>
              </w:rPr>
            </w:pPr>
          </w:p>
        </w:tc>
        <w:tc>
          <w:tcPr>
            <w:tcW w:w="1920" w:type="dxa"/>
            <w:gridSpan w:val="2"/>
            <w:vMerge w:val="continue"/>
            <w:noWrap w:val="0"/>
            <w:vAlign w:val="center"/>
          </w:tcPr>
          <w:p>
            <w:pPr>
              <w:jc w:val="center"/>
              <w:rPr>
                <w:rFonts w:ascii="宋体" w:hAnsi="宋体" w:cs="宋体"/>
                <w:color w:val="auto"/>
                <w:kern w:val="0"/>
                <w:sz w:val="24"/>
              </w:rPr>
            </w:pPr>
          </w:p>
        </w:tc>
        <w:tc>
          <w:tcPr>
            <w:tcW w:w="765" w:type="dxa"/>
            <w:noWrap w:val="0"/>
            <w:vAlign w:val="center"/>
          </w:tcPr>
          <w:p>
            <w:pPr>
              <w:jc w:val="center"/>
              <w:rPr>
                <w:rFonts w:ascii="宋体" w:hAnsi="宋体" w:cs="宋体"/>
                <w:color w:val="auto"/>
                <w:kern w:val="0"/>
                <w:sz w:val="24"/>
              </w:rPr>
            </w:pPr>
            <w:r>
              <w:rPr>
                <w:rFonts w:hint="eastAsia" w:ascii="宋体" w:hAnsi="宋体" w:cs="宋体"/>
                <w:color w:val="auto"/>
                <w:kern w:val="0"/>
                <w:sz w:val="24"/>
              </w:rPr>
              <w:t>4</w:t>
            </w:r>
          </w:p>
        </w:tc>
        <w:tc>
          <w:tcPr>
            <w:tcW w:w="6280" w:type="dxa"/>
            <w:noWrap w:val="0"/>
            <w:vAlign w:val="top"/>
          </w:tcPr>
          <w:p>
            <w:pPr>
              <w:rPr>
                <w:rFonts w:ascii="宋体" w:hAnsi="宋体" w:cs="宋体"/>
                <w:color w:val="auto"/>
                <w:kern w:val="0"/>
                <w:sz w:val="24"/>
              </w:rPr>
            </w:pPr>
            <w:r>
              <w:rPr>
                <w:rFonts w:hint="eastAsia" w:ascii="宋体" w:hAnsi="宋体" w:cs="宋体"/>
                <w:color w:val="auto"/>
                <w:kern w:val="0"/>
                <w:sz w:val="24"/>
              </w:rPr>
              <w:t>产品</w:t>
            </w:r>
            <w:r>
              <w:rPr>
                <w:rFonts w:ascii="宋体" w:hAnsi="宋体" w:cs="宋体"/>
                <w:color w:val="auto"/>
                <w:kern w:val="0"/>
                <w:sz w:val="24"/>
              </w:rPr>
              <w:t>配置先进合理，具有开放性和可扩充性；技术成熟，安全可靠,得</w:t>
            </w:r>
            <w:r>
              <w:rPr>
                <w:rFonts w:hint="eastAsia" w:ascii="宋体" w:hAnsi="宋体" w:cs="宋体"/>
                <w:color w:val="auto"/>
                <w:kern w:val="0"/>
                <w:sz w:val="24"/>
              </w:rPr>
              <w:t>4</w:t>
            </w:r>
            <w:r>
              <w:rPr>
                <w:rFonts w:ascii="宋体" w:hAnsi="宋体" w:cs="宋体"/>
                <w:color w:val="auto"/>
                <w:kern w:val="0"/>
                <w:sz w:val="24"/>
              </w:rPr>
              <w:t>分；产品选型及配置欠佳的，得</w:t>
            </w:r>
            <w:r>
              <w:rPr>
                <w:rFonts w:hint="eastAsia" w:ascii="宋体" w:hAnsi="宋体" w:cs="宋体"/>
                <w:color w:val="auto"/>
                <w:kern w:val="0"/>
                <w:sz w:val="24"/>
              </w:rPr>
              <w:t>2</w:t>
            </w:r>
            <w:r>
              <w:rPr>
                <w:rFonts w:ascii="宋体" w:hAnsi="宋体" w:cs="宋体"/>
                <w:color w:val="auto"/>
                <w:kern w:val="0"/>
                <w:sz w:val="24"/>
              </w:rPr>
              <w:t>分；产品选型及配置一般,不能满足要求的</w:t>
            </w:r>
            <w:r>
              <w:rPr>
                <w:rFonts w:hint="eastAsia" w:ascii="宋体" w:hAnsi="宋体" w:cs="宋体"/>
                <w:color w:val="auto"/>
                <w:kern w:val="0"/>
                <w:sz w:val="24"/>
              </w:rPr>
              <w:t>不</w:t>
            </w:r>
            <w:r>
              <w:rPr>
                <w:rFonts w:ascii="宋体" w:hAnsi="宋体" w:cs="宋体"/>
                <w:color w:val="auto"/>
                <w:kern w:val="0"/>
                <w:sz w:val="24"/>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492" w:type="dxa"/>
            <w:vMerge w:val="continue"/>
            <w:noWrap w:val="0"/>
            <w:vAlign w:val="center"/>
          </w:tcPr>
          <w:p>
            <w:pPr>
              <w:jc w:val="center"/>
              <w:rPr>
                <w:rFonts w:ascii="宋体" w:hAnsi="宋体" w:cs="宋体"/>
                <w:color w:val="auto"/>
                <w:kern w:val="0"/>
                <w:sz w:val="24"/>
              </w:rPr>
            </w:pPr>
          </w:p>
        </w:tc>
        <w:tc>
          <w:tcPr>
            <w:tcW w:w="1920" w:type="dxa"/>
            <w:gridSpan w:val="2"/>
            <w:noWrap w:val="0"/>
            <w:vAlign w:val="center"/>
          </w:tcPr>
          <w:p>
            <w:pPr>
              <w:jc w:val="center"/>
              <w:rPr>
                <w:rFonts w:ascii="宋体" w:hAnsi="宋体" w:cs="宋体"/>
                <w:color w:val="auto"/>
                <w:kern w:val="0"/>
                <w:sz w:val="24"/>
              </w:rPr>
            </w:pPr>
            <w:r>
              <w:rPr>
                <w:rFonts w:ascii="宋体" w:hAnsi="宋体" w:cs="宋体"/>
                <w:color w:val="auto"/>
                <w:kern w:val="0"/>
                <w:sz w:val="24"/>
              </w:rPr>
              <w:t>质量、服务</w:t>
            </w:r>
          </w:p>
        </w:tc>
        <w:tc>
          <w:tcPr>
            <w:tcW w:w="765" w:type="dxa"/>
            <w:noWrap w:val="0"/>
            <w:vAlign w:val="center"/>
          </w:tcPr>
          <w:p>
            <w:pPr>
              <w:jc w:val="center"/>
              <w:rPr>
                <w:rFonts w:ascii="宋体" w:hAnsi="宋体" w:cs="宋体"/>
                <w:color w:val="auto"/>
                <w:kern w:val="0"/>
                <w:sz w:val="24"/>
              </w:rPr>
            </w:pPr>
            <w:r>
              <w:rPr>
                <w:rFonts w:hint="eastAsia" w:ascii="宋体" w:hAnsi="宋体" w:cs="宋体"/>
                <w:color w:val="auto"/>
                <w:kern w:val="0"/>
                <w:sz w:val="24"/>
              </w:rPr>
              <w:t>10</w:t>
            </w:r>
          </w:p>
        </w:tc>
        <w:tc>
          <w:tcPr>
            <w:tcW w:w="6280" w:type="dxa"/>
            <w:noWrap w:val="0"/>
            <w:vAlign w:val="top"/>
          </w:tcPr>
          <w:p>
            <w:pPr>
              <w:rPr>
                <w:rFonts w:ascii="宋体" w:hAnsi="宋体" w:cs="宋体"/>
                <w:color w:val="auto"/>
                <w:kern w:val="0"/>
                <w:sz w:val="24"/>
              </w:rPr>
            </w:pPr>
            <w:r>
              <w:rPr>
                <w:rFonts w:ascii="宋体" w:hAnsi="宋体" w:cs="宋体"/>
                <w:color w:val="auto"/>
                <w:kern w:val="0"/>
                <w:sz w:val="24"/>
              </w:rPr>
              <w:t>由评委对投标人所提供的质量保证、服务方案</w:t>
            </w:r>
            <w:bookmarkStart w:id="2" w:name="_GoBack"/>
            <w:bookmarkEnd w:id="2"/>
            <w:r>
              <w:rPr>
                <w:rFonts w:ascii="宋体" w:hAnsi="宋体" w:cs="宋体"/>
                <w:color w:val="auto"/>
                <w:kern w:val="0"/>
                <w:sz w:val="24"/>
              </w:rPr>
              <w:t>进行评价，优：</w:t>
            </w:r>
            <w:r>
              <w:rPr>
                <w:rFonts w:hint="eastAsia" w:ascii="宋体" w:hAnsi="宋体" w:cs="宋体"/>
                <w:color w:val="auto"/>
                <w:kern w:val="0"/>
                <w:sz w:val="24"/>
              </w:rPr>
              <w:t>10</w:t>
            </w:r>
            <w:r>
              <w:rPr>
                <w:rFonts w:ascii="宋体" w:hAnsi="宋体" w:cs="宋体"/>
                <w:color w:val="auto"/>
                <w:kern w:val="0"/>
                <w:sz w:val="24"/>
              </w:rPr>
              <w:t>分，良：</w:t>
            </w:r>
            <w:r>
              <w:rPr>
                <w:rFonts w:hint="eastAsia" w:ascii="宋体" w:hAnsi="宋体" w:cs="宋体"/>
                <w:color w:val="auto"/>
                <w:kern w:val="0"/>
                <w:sz w:val="24"/>
              </w:rPr>
              <w:t>6</w:t>
            </w:r>
            <w:r>
              <w:rPr>
                <w:rFonts w:ascii="宋体" w:hAnsi="宋体" w:cs="宋体"/>
                <w:color w:val="auto"/>
                <w:kern w:val="0"/>
                <w:sz w:val="24"/>
              </w:rPr>
              <w:t>分，一般：</w:t>
            </w:r>
            <w:r>
              <w:rPr>
                <w:rFonts w:hint="eastAsia" w:ascii="宋体" w:hAnsi="宋体" w:cs="宋体"/>
                <w:color w:val="auto"/>
                <w:kern w:val="0"/>
                <w:sz w:val="24"/>
              </w:rPr>
              <w:t>4</w:t>
            </w:r>
            <w:r>
              <w:rPr>
                <w:rFonts w:ascii="宋体" w:hAnsi="宋体" w:cs="宋体"/>
                <w:color w:val="auto"/>
                <w:kern w:val="0"/>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492" w:type="dxa"/>
            <w:vMerge w:val="continue"/>
            <w:noWrap w:val="0"/>
            <w:vAlign w:val="center"/>
          </w:tcPr>
          <w:p>
            <w:pPr>
              <w:jc w:val="center"/>
              <w:rPr>
                <w:rFonts w:ascii="宋体" w:hAnsi="宋体" w:cs="宋体"/>
                <w:color w:val="auto"/>
                <w:kern w:val="0"/>
                <w:sz w:val="24"/>
              </w:rPr>
            </w:pPr>
          </w:p>
        </w:tc>
        <w:tc>
          <w:tcPr>
            <w:tcW w:w="1920" w:type="dxa"/>
            <w:gridSpan w:val="2"/>
            <w:noWrap w:val="0"/>
            <w:vAlign w:val="center"/>
          </w:tcPr>
          <w:p>
            <w:pPr>
              <w:jc w:val="center"/>
              <w:rPr>
                <w:rFonts w:ascii="宋体" w:hAnsi="宋体" w:cs="宋体"/>
                <w:color w:val="auto"/>
                <w:kern w:val="0"/>
                <w:sz w:val="24"/>
              </w:rPr>
            </w:pPr>
            <w:r>
              <w:rPr>
                <w:rFonts w:ascii="宋体" w:hAnsi="宋体" w:cs="宋体"/>
                <w:color w:val="auto"/>
                <w:kern w:val="0"/>
                <w:sz w:val="24"/>
              </w:rPr>
              <w:t>售后服务方案</w:t>
            </w:r>
          </w:p>
        </w:tc>
        <w:tc>
          <w:tcPr>
            <w:tcW w:w="765" w:type="dxa"/>
            <w:noWrap w:val="0"/>
            <w:vAlign w:val="center"/>
          </w:tcPr>
          <w:p>
            <w:pPr>
              <w:jc w:val="center"/>
              <w:rPr>
                <w:rFonts w:hint="eastAsia" w:ascii="宋体" w:hAnsi="宋体" w:cs="宋体" w:eastAsiaTheme="minorEastAsia"/>
                <w:color w:val="auto"/>
                <w:kern w:val="0"/>
                <w:sz w:val="24"/>
                <w:lang w:eastAsia="zh-CN"/>
              </w:rPr>
            </w:pPr>
            <w:r>
              <w:rPr>
                <w:rFonts w:hint="eastAsia" w:ascii="宋体" w:hAnsi="宋体" w:cs="宋体"/>
                <w:color w:val="auto"/>
                <w:kern w:val="0"/>
                <w:sz w:val="24"/>
                <w:lang w:val="en-US" w:eastAsia="zh-CN"/>
              </w:rPr>
              <w:t>9</w:t>
            </w:r>
          </w:p>
        </w:tc>
        <w:tc>
          <w:tcPr>
            <w:tcW w:w="6280" w:type="dxa"/>
            <w:noWrap w:val="0"/>
            <w:vAlign w:val="top"/>
          </w:tcPr>
          <w:p>
            <w:pPr>
              <w:rPr>
                <w:rFonts w:ascii="宋体" w:hAnsi="宋体" w:cs="宋体"/>
                <w:color w:val="auto"/>
                <w:kern w:val="0"/>
                <w:sz w:val="24"/>
              </w:rPr>
            </w:pPr>
            <w:r>
              <w:rPr>
                <w:rFonts w:ascii="宋体" w:hAnsi="宋体" w:cs="宋体"/>
                <w:color w:val="auto"/>
                <w:kern w:val="0"/>
                <w:sz w:val="24"/>
              </w:rPr>
              <w:t>由评委对比各投标人的售后服务方案等情况进行评审打分，优：</w:t>
            </w:r>
            <w:r>
              <w:rPr>
                <w:rFonts w:hint="eastAsia" w:ascii="宋体" w:hAnsi="宋体" w:cs="宋体"/>
                <w:color w:val="auto"/>
                <w:kern w:val="0"/>
                <w:sz w:val="24"/>
                <w:lang w:val="en-US" w:eastAsia="zh-CN"/>
              </w:rPr>
              <w:t>9</w:t>
            </w:r>
            <w:r>
              <w:rPr>
                <w:rFonts w:ascii="宋体" w:hAnsi="宋体" w:cs="宋体"/>
                <w:color w:val="auto"/>
                <w:kern w:val="0"/>
                <w:sz w:val="24"/>
              </w:rPr>
              <w:t>分，良：</w:t>
            </w:r>
            <w:r>
              <w:rPr>
                <w:rFonts w:hint="eastAsia" w:ascii="宋体" w:hAnsi="宋体" w:cs="宋体"/>
                <w:color w:val="auto"/>
                <w:kern w:val="0"/>
                <w:sz w:val="24"/>
              </w:rPr>
              <w:t>5</w:t>
            </w:r>
            <w:r>
              <w:rPr>
                <w:rFonts w:ascii="宋体" w:hAnsi="宋体" w:cs="宋体"/>
                <w:color w:val="auto"/>
                <w:kern w:val="0"/>
                <w:sz w:val="24"/>
              </w:rPr>
              <w:t>分，一般：</w:t>
            </w:r>
            <w:r>
              <w:rPr>
                <w:rFonts w:hint="eastAsia" w:ascii="宋体" w:hAnsi="宋体" w:cs="宋体"/>
                <w:color w:val="auto"/>
                <w:kern w:val="0"/>
                <w:sz w:val="24"/>
              </w:rPr>
              <w:t>2</w:t>
            </w:r>
            <w:r>
              <w:rPr>
                <w:rFonts w:ascii="宋体" w:hAnsi="宋体" w:cs="宋体"/>
                <w:color w:val="auto"/>
                <w:kern w:val="0"/>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jc w:val="center"/>
        </w:trPr>
        <w:tc>
          <w:tcPr>
            <w:tcW w:w="492" w:type="dxa"/>
            <w:vMerge w:val="continue"/>
            <w:noWrap w:val="0"/>
            <w:vAlign w:val="center"/>
          </w:tcPr>
          <w:p>
            <w:pPr>
              <w:jc w:val="center"/>
              <w:rPr>
                <w:rFonts w:ascii="宋体" w:hAnsi="宋体" w:cs="宋体"/>
                <w:color w:val="auto"/>
                <w:kern w:val="0"/>
                <w:sz w:val="24"/>
              </w:rPr>
            </w:pPr>
          </w:p>
        </w:tc>
        <w:tc>
          <w:tcPr>
            <w:tcW w:w="1920" w:type="dxa"/>
            <w:gridSpan w:val="2"/>
            <w:noWrap w:val="0"/>
            <w:vAlign w:val="center"/>
          </w:tcPr>
          <w:p>
            <w:pPr>
              <w:jc w:val="center"/>
              <w:rPr>
                <w:rFonts w:ascii="宋体" w:hAnsi="宋体" w:cs="宋体"/>
                <w:color w:val="auto"/>
                <w:kern w:val="0"/>
                <w:sz w:val="24"/>
              </w:rPr>
            </w:pPr>
            <w:r>
              <w:rPr>
                <w:rFonts w:ascii="宋体" w:hAnsi="宋体" w:cs="宋体"/>
                <w:color w:val="auto"/>
                <w:kern w:val="0"/>
                <w:sz w:val="24"/>
              </w:rPr>
              <w:t>对交货、验收、付款要求的响应</w:t>
            </w:r>
          </w:p>
        </w:tc>
        <w:tc>
          <w:tcPr>
            <w:tcW w:w="765" w:type="dxa"/>
            <w:noWrap w:val="0"/>
            <w:vAlign w:val="center"/>
          </w:tcPr>
          <w:p>
            <w:pPr>
              <w:jc w:val="center"/>
              <w:rPr>
                <w:rFonts w:hint="eastAsia" w:ascii="宋体" w:hAnsi="宋体" w:cs="宋体" w:eastAsiaTheme="minorEastAsia"/>
                <w:color w:val="auto"/>
                <w:kern w:val="0"/>
                <w:sz w:val="24"/>
                <w:lang w:eastAsia="zh-CN"/>
              </w:rPr>
            </w:pPr>
            <w:r>
              <w:rPr>
                <w:rFonts w:hint="eastAsia" w:ascii="宋体" w:hAnsi="宋体" w:cs="宋体"/>
                <w:color w:val="auto"/>
                <w:kern w:val="0"/>
                <w:sz w:val="24"/>
                <w:lang w:val="en-US" w:eastAsia="zh-CN"/>
              </w:rPr>
              <w:t>6</w:t>
            </w:r>
          </w:p>
        </w:tc>
        <w:tc>
          <w:tcPr>
            <w:tcW w:w="6280" w:type="dxa"/>
            <w:noWrap w:val="0"/>
            <w:vAlign w:val="top"/>
          </w:tcPr>
          <w:p>
            <w:pPr>
              <w:rPr>
                <w:rFonts w:ascii="宋体" w:hAnsi="宋体" w:cs="宋体"/>
                <w:color w:val="auto"/>
                <w:kern w:val="0"/>
                <w:sz w:val="24"/>
              </w:rPr>
            </w:pPr>
            <w:r>
              <w:rPr>
                <w:rFonts w:ascii="宋体" w:hAnsi="宋体" w:cs="宋体"/>
                <w:color w:val="auto"/>
                <w:kern w:val="0"/>
                <w:sz w:val="24"/>
              </w:rPr>
              <w:t xml:space="preserve">由评委对各投标人的货物的商务说明进行评议及打分。完全响应且有优化为优得 </w:t>
            </w:r>
            <w:r>
              <w:rPr>
                <w:rFonts w:hint="eastAsia" w:ascii="宋体" w:hAnsi="宋体" w:cs="宋体"/>
                <w:color w:val="auto"/>
                <w:kern w:val="0"/>
                <w:sz w:val="24"/>
                <w:lang w:val="en-US" w:eastAsia="zh-CN"/>
              </w:rPr>
              <w:t>6</w:t>
            </w:r>
            <w:r>
              <w:rPr>
                <w:rFonts w:ascii="宋体" w:hAnsi="宋体" w:cs="宋体"/>
                <w:color w:val="auto"/>
                <w:kern w:val="0"/>
                <w:sz w:val="24"/>
              </w:rPr>
              <w:t xml:space="preserve"> 分、完全响应为良得 </w:t>
            </w:r>
            <w:r>
              <w:rPr>
                <w:rFonts w:hint="eastAsia" w:ascii="宋体" w:hAnsi="宋体" w:cs="宋体"/>
                <w:color w:val="auto"/>
                <w:kern w:val="0"/>
                <w:sz w:val="24"/>
              </w:rPr>
              <w:t>3</w:t>
            </w:r>
            <w:r>
              <w:rPr>
                <w:rFonts w:ascii="宋体" w:hAnsi="宋体" w:cs="宋体"/>
                <w:color w:val="auto"/>
                <w:kern w:val="0"/>
                <w:sz w:val="24"/>
              </w:rPr>
              <w:t>分、响应不充分为一般得 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5" w:hRule="atLeast"/>
          <w:jc w:val="center"/>
        </w:trPr>
        <w:tc>
          <w:tcPr>
            <w:tcW w:w="492" w:type="dxa"/>
            <w:vMerge w:val="continue"/>
            <w:noWrap w:val="0"/>
            <w:vAlign w:val="center"/>
          </w:tcPr>
          <w:p>
            <w:pPr>
              <w:jc w:val="center"/>
              <w:rPr>
                <w:rFonts w:ascii="宋体" w:hAnsi="宋体" w:cs="宋体"/>
                <w:color w:val="auto"/>
                <w:kern w:val="0"/>
                <w:sz w:val="24"/>
              </w:rPr>
            </w:pPr>
          </w:p>
        </w:tc>
        <w:tc>
          <w:tcPr>
            <w:tcW w:w="1920" w:type="dxa"/>
            <w:gridSpan w:val="2"/>
            <w:noWrap w:val="0"/>
            <w:vAlign w:val="center"/>
          </w:tcPr>
          <w:p>
            <w:pPr>
              <w:jc w:val="center"/>
              <w:rPr>
                <w:rFonts w:ascii="宋体" w:hAnsi="宋体" w:cs="宋体"/>
                <w:color w:val="auto"/>
                <w:kern w:val="0"/>
                <w:sz w:val="24"/>
              </w:rPr>
            </w:pPr>
            <w:r>
              <w:rPr>
                <w:rFonts w:ascii="宋体" w:hAnsi="宋体" w:cs="宋体"/>
                <w:color w:val="auto"/>
                <w:kern w:val="0"/>
                <w:sz w:val="24"/>
              </w:rPr>
              <w:t>质保期限的响应</w:t>
            </w:r>
          </w:p>
        </w:tc>
        <w:tc>
          <w:tcPr>
            <w:tcW w:w="765" w:type="dxa"/>
            <w:noWrap w:val="0"/>
            <w:vAlign w:val="center"/>
          </w:tcPr>
          <w:p>
            <w:pPr>
              <w:jc w:val="center"/>
              <w:rPr>
                <w:rFonts w:hint="eastAsia" w:ascii="宋体" w:hAnsi="宋体" w:cs="宋体"/>
                <w:color w:val="auto"/>
                <w:kern w:val="0"/>
                <w:sz w:val="24"/>
              </w:rPr>
            </w:pPr>
            <w:r>
              <w:rPr>
                <w:rFonts w:hint="eastAsia" w:ascii="宋体" w:hAnsi="宋体" w:cs="宋体"/>
                <w:color w:val="auto"/>
                <w:kern w:val="0"/>
                <w:sz w:val="24"/>
                <w:lang w:val="en-US" w:eastAsia="zh-CN"/>
              </w:rPr>
              <w:t>6</w:t>
            </w:r>
          </w:p>
        </w:tc>
        <w:tc>
          <w:tcPr>
            <w:tcW w:w="6280" w:type="dxa"/>
            <w:noWrap w:val="0"/>
            <w:vAlign w:val="top"/>
          </w:tcPr>
          <w:p>
            <w:pPr>
              <w:rPr>
                <w:rFonts w:ascii="宋体" w:hAnsi="宋体" w:cs="宋体"/>
                <w:color w:val="auto"/>
                <w:kern w:val="0"/>
                <w:sz w:val="24"/>
              </w:rPr>
            </w:pPr>
            <w:r>
              <w:rPr>
                <w:rFonts w:ascii="宋体" w:hAnsi="宋体" w:cs="宋体"/>
                <w:color w:val="auto"/>
                <w:kern w:val="0"/>
                <w:sz w:val="24"/>
              </w:rPr>
              <w:t>由评委对各投标人的货物的质保期限说明进行评议及打分。质保期限完全响应且有优化为优得</w:t>
            </w:r>
            <w:r>
              <w:rPr>
                <w:rFonts w:hint="eastAsia" w:ascii="宋体" w:hAnsi="宋体" w:cs="宋体"/>
                <w:color w:val="auto"/>
                <w:kern w:val="0"/>
                <w:sz w:val="24"/>
                <w:lang w:val="en-US" w:eastAsia="zh-CN"/>
              </w:rPr>
              <w:t>6</w:t>
            </w:r>
            <w:r>
              <w:rPr>
                <w:rFonts w:ascii="宋体" w:hAnsi="宋体" w:cs="宋体"/>
                <w:color w:val="auto"/>
                <w:kern w:val="0"/>
                <w:sz w:val="24"/>
              </w:rPr>
              <w:t xml:space="preserve">分、完全响应为良得 </w:t>
            </w:r>
            <w:r>
              <w:rPr>
                <w:rFonts w:hint="eastAsia" w:ascii="宋体" w:hAnsi="宋体" w:cs="宋体"/>
                <w:color w:val="auto"/>
                <w:kern w:val="0"/>
                <w:sz w:val="24"/>
              </w:rPr>
              <w:t>3</w:t>
            </w:r>
            <w:r>
              <w:rPr>
                <w:rFonts w:ascii="宋体" w:hAnsi="宋体" w:cs="宋体"/>
                <w:color w:val="auto"/>
                <w:kern w:val="0"/>
                <w:sz w:val="24"/>
              </w:rPr>
              <w:t>分、响应不充分为一般得 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492" w:type="dxa"/>
            <w:vMerge w:val="continue"/>
            <w:noWrap w:val="0"/>
            <w:vAlign w:val="center"/>
          </w:tcPr>
          <w:p>
            <w:pPr>
              <w:jc w:val="center"/>
              <w:rPr>
                <w:rFonts w:ascii="宋体" w:hAnsi="宋体" w:cs="宋体"/>
                <w:color w:val="auto"/>
                <w:kern w:val="0"/>
                <w:sz w:val="24"/>
              </w:rPr>
            </w:pPr>
          </w:p>
        </w:tc>
        <w:tc>
          <w:tcPr>
            <w:tcW w:w="1920" w:type="dxa"/>
            <w:gridSpan w:val="2"/>
            <w:noWrap w:val="0"/>
            <w:vAlign w:val="center"/>
          </w:tcPr>
          <w:p>
            <w:pPr>
              <w:jc w:val="center"/>
              <w:rPr>
                <w:rFonts w:ascii="宋体" w:hAnsi="宋体" w:cs="宋体"/>
                <w:color w:val="auto"/>
                <w:kern w:val="0"/>
                <w:sz w:val="24"/>
              </w:rPr>
            </w:pPr>
            <w:r>
              <w:rPr>
                <w:rFonts w:hint="eastAsia" w:ascii="宋体" w:hAnsi="宋体" w:cs="宋体"/>
                <w:color w:val="auto"/>
                <w:kern w:val="0"/>
                <w:sz w:val="24"/>
                <w:lang w:bidi="ar"/>
              </w:rPr>
              <w:t>本地化服务能力</w:t>
            </w:r>
          </w:p>
        </w:tc>
        <w:tc>
          <w:tcPr>
            <w:tcW w:w="765" w:type="dxa"/>
            <w:noWrap w:val="0"/>
            <w:vAlign w:val="center"/>
          </w:tcPr>
          <w:p>
            <w:pPr>
              <w:jc w:val="center"/>
              <w:rPr>
                <w:rFonts w:hint="eastAsia" w:ascii="宋体" w:hAnsi="宋体" w:cs="宋体" w:eastAsiaTheme="minorEastAsia"/>
                <w:color w:val="auto"/>
                <w:kern w:val="0"/>
                <w:sz w:val="24"/>
                <w:lang w:eastAsia="zh-CN"/>
              </w:rPr>
            </w:pPr>
            <w:r>
              <w:rPr>
                <w:rFonts w:hint="eastAsia" w:ascii="宋体" w:hAnsi="宋体" w:cs="宋体"/>
                <w:color w:val="auto"/>
                <w:kern w:val="0"/>
                <w:sz w:val="24"/>
                <w:lang w:val="en-US" w:eastAsia="zh-CN"/>
              </w:rPr>
              <w:t>6</w:t>
            </w:r>
          </w:p>
        </w:tc>
        <w:tc>
          <w:tcPr>
            <w:tcW w:w="6280" w:type="dxa"/>
            <w:noWrap w:val="0"/>
            <w:vAlign w:val="top"/>
          </w:tcPr>
          <w:p>
            <w:pPr>
              <w:widowControl/>
              <w:jc w:val="left"/>
              <w:textAlignment w:val="center"/>
              <w:rPr>
                <w:rFonts w:ascii="宋体" w:hAnsi="宋体" w:cs="宋体"/>
                <w:color w:val="auto"/>
                <w:kern w:val="0"/>
                <w:sz w:val="24"/>
              </w:rPr>
            </w:pPr>
            <w:r>
              <w:rPr>
                <w:rFonts w:hint="eastAsia" w:ascii="宋体" w:hAnsi="宋体" w:cs="宋体"/>
                <w:color w:val="auto"/>
                <w:kern w:val="0"/>
                <w:sz w:val="24"/>
              </w:rPr>
              <w:t>供应商在惠州市内提供自有或租赁的固定场所作为服务场所为本项目提供服务，或供应商可以委托满足采购人服务需求的其他公司作为服务场所，并由被委托的其他方公司为本项目提供服务，或供应商承诺中标后按上述要求设置服务场所并提供相关服务，得满分，无服务机构响应服务不得分</w:t>
            </w:r>
            <w:r>
              <w:rPr>
                <w:rFonts w:ascii="宋体" w:hAnsi="宋体" w:cs="宋体"/>
                <w:color w:val="auto"/>
                <w:kern w:val="0"/>
                <w:sz w:val="24"/>
              </w:rPr>
              <w:t>。</w:t>
            </w:r>
          </w:p>
          <w:p>
            <w:pPr>
              <w:rPr>
                <w:rFonts w:ascii="宋体" w:hAnsi="宋体" w:cs="宋体"/>
                <w:color w:val="auto"/>
                <w:kern w:val="0"/>
                <w:sz w:val="24"/>
              </w:rPr>
            </w:pPr>
            <w:r>
              <w:rPr>
                <w:rFonts w:hint="eastAsia" w:ascii="宋体" w:hAnsi="宋体" w:cs="宋体"/>
                <w:color w:val="auto"/>
                <w:kern w:val="0"/>
                <w:sz w:val="24"/>
                <w:lang w:bidi="ar"/>
              </w:rPr>
              <w:t>备注：</w:t>
            </w:r>
            <w:r>
              <w:rPr>
                <w:rFonts w:hint="eastAsia" w:ascii="宋体" w:hAnsi="宋体" w:cs="宋体"/>
                <w:color w:val="auto"/>
                <w:kern w:val="0"/>
                <w:sz w:val="24"/>
              </w:rPr>
              <w:t>需提供服务机构的营业执照（具体办公地址）复印件作为证明文件，</w:t>
            </w:r>
            <w:r>
              <w:rPr>
                <w:rFonts w:hint="eastAsia" w:ascii="宋体" w:hAnsi="宋体" w:cs="宋体"/>
                <w:color w:val="auto"/>
                <w:kern w:val="0"/>
                <w:sz w:val="24"/>
                <w:lang w:bidi="ar"/>
              </w:rPr>
              <w:t>无或缺项或未按要求递交证明材料的得0分。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jc w:val="center"/>
        </w:trPr>
        <w:tc>
          <w:tcPr>
            <w:tcW w:w="2412" w:type="dxa"/>
            <w:gridSpan w:val="3"/>
            <w:noWrap w:val="0"/>
            <w:vAlign w:val="center"/>
          </w:tcPr>
          <w:p>
            <w:pPr>
              <w:jc w:val="center"/>
              <w:rPr>
                <w:rFonts w:ascii="宋体" w:hAnsi="宋体" w:cs="宋体"/>
                <w:kern w:val="0"/>
                <w:sz w:val="24"/>
              </w:rPr>
            </w:pPr>
            <w:r>
              <w:rPr>
                <w:rFonts w:ascii="宋体" w:hAnsi="宋体" w:cs="宋体"/>
                <w:kern w:val="0"/>
                <w:sz w:val="24"/>
              </w:rPr>
              <w:t>对招标文件的响</w:t>
            </w:r>
          </w:p>
          <w:p>
            <w:pPr>
              <w:jc w:val="center"/>
              <w:rPr>
                <w:rFonts w:ascii="宋体" w:hAnsi="宋体" w:cs="宋体"/>
                <w:kern w:val="0"/>
                <w:sz w:val="24"/>
              </w:rPr>
            </w:pPr>
            <w:r>
              <w:rPr>
                <w:rFonts w:ascii="宋体" w:hAnsi="宋体" w:cs="宋体"/>
                <w:kern w:val="0"/>
                <w:sz w:val="24"/>
              </w:rPr>
              <w:t>应程度</w:t>
            </w:r>
          </w:p>
        </w:tc>
        <w:tc>
          <w:tcPr>
            <w:tcW w:w="765" w:type="dxa"/>
            <w:noWrap w:val="0"/>
            <w:vAlign w:val="center"/>
          </w:tcPr>
          <w:p>
            <w:pPr>
              <w:jc w:val="center"/>
              <w:rPr>
                <w:rFonts w:hint="eastAsia" w:ascii="宋体" w:hAnsi="宋体" w:cs="宋体" w:eastAsiaTheme="minorEastAsia"/>
                <w:color w:val="auto"/>
                <w:kern w:val="0"/>
                <w:sz w:val="24"/>
                <w:lang w:eastAsia="zh-CN"/>
              </w:rPr>
            </w:pPr>
            <w:r>
              <w:rPr>
                <w:rFonts w:hint="eastAsia" w:ascii="宋体" w:hAnsi="宋体" w:cs="宋体"/>
                <w:color w:val="auto"/>
                <w:kern w:val="0"/>
                <w:sz w:val="24"/>
                <w:lang w:val="en-US" w:eastAsia="zh-CN"/>
              </w:rPr>
              <w:t>3</w:t>
            </w:r>
          </w:p>
        </w:tc>
        <w:tc>
          <w:tcPr>
            <w:tcW w:w="6280" w:type="dxa"/>
            <w:noWrap w:val="0"/>
            <w:vAlign w:val="top"/>
          </w:tcPr>
          <w:p>
            <w:pPr>
              <w:rPr>
                <w:rFonts w:ascii="宋体" w:hAnsi="宋体" w:cs="宋体"/>
                <w:color w:val="auto"/>
                <w:kern w:val="0"/>
                <w:sz w:val="24"/>
              </w:rPr>
            </w:pPr>
            <w:r>
              <w:rPr>
                <w:rFonts w:ascii="宋体" w:hAnsi="宋体" w:cs="宋体"/>
                <w:color w:val="auto"/>
                <w:kern w:val="0"/>
                <w:sz w:val="24"/>
              </w:rPr>
              <w:t>对比各投标文件按招标文件规定的格式、顺序编制，有目录、编页码，装订成册，书面整洁无涂改，没有缺漏项，价格数量等计算准确的。优3分，良2分，一般1分。</w:t>
            </w:r>
          </w:p>
        </w:tc>
      </w:tr>
    </w:tbl>
    <w:p>
      <w:pPr>
        <w:pStyle w:val="2"/>
        <w:spacing w:before="120" w:after="120"/>
        <w:rPr>
          <w:lang w:val="en-US" w:eastAsia="zh-CN"/>
        </w:rPr>
      </w:pPr>
    </w:p>
    <w:p>
      <w:pPr>
        <w:spacing w:line="360" w:lineRule="auto"/>
        <w:jc w:val="both"/>
        <w:rPr>
          <w:rFonts w:hint="default" w:ascii="宋体" w:hAnsi="宋体" w:cs="宋体"/>
          <w:b/>
          <w:bCs/>
          <w:kern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FC2C8"/>
    <w:multiLevelType w:val="singleLevel"/>
    <w:tmpl w:val="ECDFC2C8"/>
    <w:lvl w:ilvl="0" w:tentative="0">
      <w:start w:val="1"/>
      <w:numFmt w:val="chineseCounting"/>
      <w:suff w:val="nothing"/>
      <w:lvlText w:val="（%1）"/>
      <w:lvlJc w:val="left"/>
      <w:pPr>
        <w:ind w:left="0" w:firstLine="420"/>
      </w:pPr>
      <w:rPr>
        <w:rFonts w:hint="eastAsia"/>
      </w:rPr>
    </w:lvl>
  </w:abstractNum>
  <w:abstractNum w:abstractNumId="1">
    <w:nsid w:val="386BE236"/>
    <w:multiLevelType w:val="singleLevel"/>
    <w:tmpl w:val="386BE23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TdhYmY0MmI3MzVlNWExOGEzYzUyOTI1MmVkZGIifQ=="/>
  </w:docVars>
  <w:rsids>
    <w:rsidRoot w:val="1B332514"/>
    <w:rsid w:val="07834FCD"/>
    <w:rsid w:val="0A371840"/>
    <w:rsid w:val="0DD13E0E"/>
    <w:rsid w:val="10631B5B"/>
    <w:rsid w:val="18244520"/>
    <w:rsid w:val="1B332514"/>
    <w:rsid w:val="23597A20"/>
    <w:rsid w:val="2499235C"/>
    <w:rsid w:val="2BC77546"/>
    <w:rsid w:val="2E4757FD"/>
    <w:rsid w:val="3D031AB2"/>
    <w:rsid w:val="407A0287"/>
    <w:rsid w:val="43B91557"/>
    <w:rsid w:val="5CCC5D49"/>
    <w:rsid w:val="5F24566E"/>
    <w:rsid w:val="5F2D75F7"/>
    <w:rsid w:val="60035ECA"/>
    <w:rsid w:val="61471C84"/>
    <w:rsid w:val="62606EDB"/>
    <w:rsid w:val="6CE204A8"/>
    <w:rsid w:val="6D104B9F"/>
    <w:rsid w:val="6E8A6EA2"/>
    <w:rsid w:val="772E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adjustRightInd w:val="0"/>
      <w:jc w:val="center"/>
      <w:textAlignment w:val="baseline"/>
      <w:outlineLvl w:val="1"/>
    </w:pPr>
    <w:rPr>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 w:val="24"/>
      <w:szCs w:val="20"/>
    </w:rPr>
  </w:style>
  <w:style w:type="paragraph" w:styleId="4">
    <w:name w:val="Body Text"/>
    <w:basedOn w:val="1"/>
    <w:next w:val="1"/>
    <w:qFormat/>
    <w:uiPriority w:val="0"/>
    <w:pPr>
      <w:spacing w:line="360" w:lineRule="auto"/>
    </w:pPr>
    <w:rPr>
      <w:b/>
      <w:bCs/>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2433</Words>
  <Characters>2542</Characters>
  <Lines>0</Lines>
  <Paragraphs>0</Paragraphs>
  <TotalTime>32</TotalTime>
  <ScaleCrop>false</ScaleCrop>
  <LinksUpToDate>false</LinksUpToDate>
  <CharactersWithSpaces>2555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2022-04-19T12:20:00Z</dcterms:created>
  <dc:creator>匡武</dc:creator>
  <cp:lastModifiedBy>Administrator</cp:lastModifiedBy>
  <dcterms:modified xsi:type="dcterms:W3CDTF">2022-06-06T07:41:42Z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75843E6D03754052A0B75321BA44AFA4</vt:lpwstr>
  </property>
</Properties>
</file>