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  <w:t>采购内容及需求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服务要求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eastAsia="zh-CN"/>
        </w:rPr>
        <w:t>：</w:t>
      </w:r>
    </w:p>
    <w:p>
      <w:pPr>
        <w:spacing w:line="240" w:lineRule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包1：硬件、系统对接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1.1 中医四诊仪：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可采集并分析舌象、面象、脉象以及体质信息用于中医辨证论治参考和辅助诊疗。可对舌体图像的颜色、纹理、轮廓进行特征提取，输出舌色、苔色、苔质、干湿度、舌形、齿痕、剥苔、裂纹、点刺、瘀斑瘀点的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可对面部图像的颜色、纹理、轮廓进行特征提取，输出面色、唇色、干湿度、眼眶色、光泽等特征。采用特定触力面的脉压传感器，符合人体工程学的找脉方式，对受试者脉搏压力信号进行采集，得出脉图及信息参数。可对中医基本体质进行辨识，得出检测者体质类型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1.2 服务器：CPU：4C，内存：8G，硬盘：200GB。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1.3 系统对接：系统必须支持与医院HIS系统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（含门诊和住院）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接口的对接、电子病历系统接口支持、Http或Socket的接口方式，实现与医生工作站的对接。</w:t>
      </w:r>
    </w:p>
    <w:p>
      <w:pPr>
        <w:spacing w:line="240" w:lineRule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 xml:space="preserve">1.4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设备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配件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配套的打印机、座椅等</w:t>
      </w:r>
    </w:p>
    <w:p>
      <w:pPr>
        <w:spacing w:line="240" w:lineRule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包含的维保期不低于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1年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00000000"/>
    <w:rsid w:val="04006950"/>
    <w:rsid w:val="0C3A6334"/>
    <w:rsid w:val="1BE81601"/>
    <w:rsid w:val="59433EDE"/>
    <w:rsid w:val="7E3A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2024-06-18T17:40:00Z</dcterms:created>
  <dc:creator>YH</dc:creator>
  <cp:lastModifiedBy>ZYY</cp:lastModifiedBy>
  <dcterms:modified xsi:type="dcterms:W3CDTF">2024-08-28T03:46:01Z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C70499CE009E428A95D4FB2F6DE5F6C5_11</vt:lpwstr>
  </property>
</Properties>
</file>